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256ec5fc644a7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29582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GRAD STARI GRAD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IX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2.323.034,88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3.988.740,69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171,7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1.894.687,78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1.940.201,92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102,4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428.347,10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2.048.538,77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478,2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631.397,23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1.262.121,83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199,9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631.397,23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1.262.121,83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199,9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150.563,25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150.563,25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635.853,69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Grad Stari Grad ostvario je ukupni višak prihoda i primitaka u iznosu od 635.853,69 eura. Preneseni višak prihoda i primitaka iznosi 705.079,14 eura, te višak prihoda i primitaka raspoloživ u sljedećem razdoblju iznosi 1.340.932,83 eura.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71.977,09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80.137,50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111,3</w:t>
            </w:r>
          </w:p>
        </w:tc>
      </w:tr>
    </w:tbl>
    <w:p>
      <w:pPr>
        <w:spacing w:before="0" w:after="0"/>
      </w:pPr>
    </w:p>
    <w:p>
      <w:r>
        <w:t xml:space="preserve">Pomoći se odnose na fiskalno izravnanje, fiskalnu održivost dječjih vrtića i pomoći županije za uređenje poljskih puteva i subvencije poljoprivrednicima za nabavu sadnog materijala.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95.000,00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205.976,19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216,8</w:t>
            </w:r>
          </w:p>
        </w:tc>
      </w:tr>
    </w:tbl>
    <w:p>
      <w:pPr>
        <w:spacing w:before="0" w:after="0"/>
      </w:pPr>
    </w:p>
    <w:p>
      <w:r>
        <w:t xml:space="preserve">Kapitalne pomoći se odnose na uređenje dječjeg igrališta u Vorbi, refundaciju za uređenje okoliša osnovne škole, nadstrešnicu u dječjem vrtiću, mauzolej don Šime Ljubića i opremu za nogometno igralište Dolci.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temeljem prijenosa EU sredstava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1.065.799,89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Pomoć se odnosi na projekt izgradnje Centra za upravljanje rizicima od katastrofa i požara.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Naknada za korištenje nefinancijske imovine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196.186,18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310.403,01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158,2</w:t>
            </w:r>
          </w:p>
        </w:tc>
      </w:tr>
    </w:tbl>
    <w:p>
      <w:pPr>
        <w:spacing w:before="0" w:after="0"/>
      </w:pPr>
    </w:p>
    <w:p>
      <w:r>
        <w:t xml:space="preserve">Prihodi se odnose na spomeničku rentu, naplaćenu zadnju ratu naknade za služnost u iznosu 50.000 sutra (1. rata je naplaćena u 2024. godini) i javne površine.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prihodi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2.756,56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Prihodi se odnose na prihode od naknde za promjenu namjene poljoprivrednog zemljišta.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14.016,93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127.950,19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912,8</w:t>
            </w:r>
          </w:p>
        </w:tc>
      </w:tr>
    </w:tbl>
    <w:p>
      <w:pPr>
        <w:spacing w:before="0" w:after="0"/>
      </w:pPr>
    </w:p>
    <w:p>
      <w:r>
        <w:t xml:space="preserve">Prihod od komunalnog doprinosa bilježi rast radi bolje naplate i bržeg rješavanja predmeta.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Plaće za redovan rad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157.980,04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214.931,67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136,0</w:t>
            </w:r>
          </w:p>
        </w:tc>
      </w:tr>
    </w:tbl>
    <w:p>
      <w:pPr>
        <w:spacing w:before="0" w:after="0"/>
      </w:pPr>
    </w:p>
    <w:p>
      <w:r>
        <w:t xml:space="preserve">Porast rashoda za plaće se odnosi na zapošljavanje novih djelatnika i porast plaća.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Usluge tekućeg i investicijskog održavanja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100.354,41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133.391,58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132,9</w:t>
            </w:r>
          </w:p>
        </w:tc>
      </w:tr>
    </w:tbl>
    <w:p>
      <w:pPr>
        <w:spacing w:before="0" w:after="0"/>
      </w:pPr>
    </w:p>
    <w:p>
      <w:r>
        <w:t xml:space="preserve">Usluge tekućeg i investicijskog održavanja se odnose na održavanja javnih površina i cesta, opreme na javnim površinama i cestama, održavanje rampi i šumskih i poljskih puteva.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Zakupnine i najamnine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25.779,52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39.625,40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153,7</w:t>
            </w:r>
          </w:p>
        </w:tc>
      </w:tr>
    </w:tbl>
    <w:p>
      <w:pPr>
        <w:spacing w:before="0" w:after="0"/>
      </w:pPr>
    </w:p>
    <w:p>
      <w:r>
        <w:t xml:space="preserve">Zakupnine i najamnine se odnose na smještaj djelatnika suda, katastra, policije, Centra za odgoj i obrazovanje J. Bonači i najam šatora za advent i manifestacije.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Troškovi sudskih postupaka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62.128,55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Rashod se odnosi na troškove postupaka za deposedirana zemljišta.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financijski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215.088,57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19.000,00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8,8</w:t>
            </w:r>
          </w:p>
        </w:tc>
      </w:tr>
    </w:tbl>
    <w:p>
      <w:pPr>
        <w:spacing w:before="0" w:after="0"/>
      </w:pPr>
    </w:p>
    <w:p>
      <w:r>
        <w:t xml:space="preserve">Rashod se odnosi na nagodbu za deposedirana zemljišta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proračunskim korisnicima drugih proračuna (šifre 3661 do 3663)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17.287,28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17.306,50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100,1</w:t>
            </w:r>
          </w:p>
        </w:tc>
      </w:tr>
    </w:tbl>
    <w:p>
      <w:pPr>
        <w:spacing w:before="0" w:after="0"/>
      </w:pPr>
    </w:p>
    <w:p>
      <w:r>
        <w:t xml:space="preserve">Pomoći proračunskim korisnicima drugih proračuna se odnose na isplate osnovnoj i glazbenoj školi prema pristiglim zahtjevima i potpisanim ugovorima.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Prijenosi proračunskim korisnicima iz nadležnog proračuna za financiranje redovne djelatnosti (šifre 3672 do 3674)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467.733,03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565.157,66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120,8</w:t>
            </w:r>
          </w:p>
        </w:tc>
      </w:tr>
    </w:tbl>
    <w:p>
      <w:pPr>
        <w:spacing w:before="0" w:after="0"/>
      </w:pPr>
    </w:p>
    <w:p>
      <w:r>
        <w:t xml:space="preserve">Prijenosi korisnicima iz nadležnosti se odnose na rashode za plaće, materijalne troškove i nabavu imovine.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3681+3682)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49.955,13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Pomoć se odnosi na ugovorenu pomoć prema Ugovoru o dodjeli bespovratnih sredstava za gradnju Centra za upravljanje rizicima, a odnosi se na prijenos ugovorene pomoći Općini Sućuraj.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građanima i kućanstvima u novcu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45.212,01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50.543,95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111,8</w:t>
            </w:r>
          </w:p>
        </w:tc>
      </w:tr>
    </w:tbl>
    <w:p>
      <w:pPr>
        <w:spacing w:before="0" w:after="0"/>
      </w:pPr>
    </w:p>
    <w:p>
      <w:r>
        <w:t xml:space="preserve">Rashodi se odnose na isplaćene socijalne naknde i naknade za novorođenčad, koje se isplaćuju po pristiglim zahtjevima.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Ostala prava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4124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32.404,00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Ostala prava se odnose na ulaganja u mauzolej don Šime Ljubića.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Građevinski objekti (šifre 4211 do 4214)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441.201,22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1.056.390,80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239,4</w:t>
            </w:r>
          </w:p>
        </w:tc>
      </w:tr>
    </w:tbl>
    <w:p>
      <w:pPr>
        <w:spacing w:before="0" w:after="0"/>
      </w:pPr>
    </w:p>
    <w:p>
      <w:r>
        <w:t xml:space="preserve">Ulaganja se odnose na gradnju Centra za upravljanje rizicima od požara i katastrofa.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Ceste, željeznice i ostali prometni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23.714,33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50.036,60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211,0</w:t>
            </w:r>
          </w:p>
        </w:tc>
      </w:tr>
    </w:tbl>
    <w:p>
      <w:pPr>
        <w:spacing w:before="0" w:after="0"/>
      </w:pPr>
    </w:p>
    <w:p>
      <w:r>
        <w:t xml:space="preserve">Ulaganja se odnose na ulaganja u cestu u Basini i Rudini.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409.986,89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237.024,92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57,8</w:t>
            </w:r>
          </w:p>
        </w:tc>
      </w:tr>
    </w:tbl>
    <w:p>
      <w:pPr>
        <w:spacing w:before="0" w:after="0"/>
      </w:pPr>
    </w:p>
    <w:p>
      <w:r>
        <w:t xml:space="preserve">Ulaganja se odnose na  izradu spomenika Euharistijskom kongresu, javnu rasvjetu, završetak uređenja okoliša škole, uređenje parkirališta na terminalu za Poreznu upravu i  radove za uređenje parkinga Dolci i Lučica.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Dodatna ulaganja na građevinskim objektima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101.407,90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162.541,36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160,3</w:t>
            </w:r>
          </w:p>
        </w:tc>
      </w:tr>
    </w:tbl>
    <w:p>
      <w:pPr>
        <w:spacing w:before="0" w:after="0"/>
      </w:pPr>
    </w:p>
    <w:p>
      <w:r>
        <w:t xml:space="preserve">Ulaganja se odnose na nadstrešnicu Dom Vir, sanaciju krova zgrade gradske uprave, uređenje zapadnog pročelja zgrade hrvatskog doma, priključak za terminal na trajektnom pristaništu za prostor u vlasništvu grada i istraživanja vezana uz zgradu Vinarije.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150.563,25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Izdaci se odnose na otplatu glavnice zajma državnog proračuna za deposedirana zemljišta.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17.745,98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(Šifra V007) u ukupnom iznosu 17.745,98 eura se odnose na:</w:t>
      </w:r>
    </w:p>
    <w:p>
      <w:r>
        <w:t xml:space="preserve">- Obveze za materijalne rashode (Šifra D232) u iznosu 7.842,07 eura sa prekoračenjem preko 360 dana (usluge prijevoza i održavanja). </w:t>
      </w:r>
    </w:p>
    <w:p>
      <w:r>
        <w:t xml:space="preserve">- Obveze za kazne, naknade šteta i kapitalne pomoći u iznosu 5.344,88 eura sa kašnjenjem preko 360 dana (kapitalna pomoć Hvarskom vodovodu d.o.o. (Šifra D238D)).</w:t>
      </w:r>
    </w:p>
    <w:p>
      <w:r>
        <w:t xml:space="preserve">- Obveze za nabavu nefinancijske imovine u iznosu od 4.559,03 eura (Šifra D24D) za radove sa prekoračenjem preko 360 dana.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Ostvaren je prihod od EU pomoći u iznosu od 1.065.799,89 eura iz Europskog fonda za regionalni razvoj. Prihod je knjižen po odobrenim ZNS-ovima iz isplaćenog predujma, a nakon potrošenog predujma po isplatama pomoći temeljem predanih ZNS-ova. Pomoći se odnose na projekt izgradnje Centra za upravljanje rizicima od požara i katastrofa.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305bf9b6f2f40af" /></Relationships>
</file>