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5025b36ba474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29582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GRAD STARI GRAD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1.308.566,62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2.640.749,16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201,8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1.261.305,43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1.246.290,13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47.261,19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1.394.459,03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2950,5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6.550,01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465.630,15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950.629,62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465.630,15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944.079,61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202,8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100.375,50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100.375,50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350.003,92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Konsolidirano financijsko izvješće se odnosi na Grad Stari Grad - Gradski proračun te proračunske korisnike:</w:t>
      </w:r>
    </w:p>
    <w:p>
      <w:r>
        <w:t xml:space="preserve">- DJEČJI VRTIĆ SARDELICE</w:t>
      </w:r>
    </w:p>
    <w:p>
      <w:r>
        <w:t xml:space="preserve">- GRADSKA KNJIŽNICA STARI GRAD</w:t>
      </w:r>
    </w:p>
    <w:p>
      <w:r>
        <w:t xml:space="preserve">- MUZEJ STAROGA GRADA</w:t>
      </w:r>
    </w:p>
    <w:p>
      <w:r>
        <w:t xml:space="preserve">- JAVNA USTANOVA AGENCIJA ZA UPRAVLJANJE STAROGRADSKIM POLJEM</w:t>
      </w:r>
    </w:p>
    <w:p>
      <w:r>
        <w:t xml:space="preserve"> </w:t>
      </w:r>
    </w:p>
    <w:p>
      <w:r>
        <w:t xml:space="preserve">Konsolidirani Prihodi poslovanja izvještajnog razdoblja (Šifra 6) iznose 2.640.749,16 EUR. U odnosu na prethodno izvještajno razdoblje bilježe rast od 101,8%. Struktura prihoda je:</w:t>
      </w:r>
    </w:p>
    <w:tbl>
      <w:tblPr>
        <w:tblStyle w:val="TableGrid"/>
        <w:tblW w:w="5000" w:type="pct"/>
      </w:tblPr>
      <w:tblGrid>
        <w:gridCol w:w="3202"/>
        <w:gridCol w:w="3202"/>
        <w:gridCol w:w="3202"/>
      </w:tblGrid>
      <w:tr>
        <w:trPr>
          <w:trHeight w:val="542" w:hRule="atLeast"/>
        </w:trPr>
        <w:tc>
          <w:tcPr>
            <w:tcW w:w="1663" w:type="pct"/>
            <w:vAlign w:val="center"/>
          </w:tcPr>
          <w:p>
            <w:r>
              <w:t xml:space="preserve"> 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center"/>
            </w:pPr>
            <w:r>
              <w:t xml:space="preserve"> Prihodi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center"/>
            </w:pPr>
            <w:r>
              <w:t xml:space="preserve">Udio u prihodima</w:t>
            </w:r>
          </w:p>
        </w:tc>
      </w:tr>
      <w:tr>
        <w:trPr>
          <w:trHeight w:val="542" w:hRule="atLeast"/>
        </w:trPr>
        <w:tc>
          <w:tcPr>
            <w:tcW w:w="1663" w:type="pct"/>
            <w:vAlign w:val="center"/>
          </w:tcPr>
          <w:p>
            <w:r>
              <w:t xml:space="preserve"> Grad Stari Grad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2524976,22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96%</w:t>
            </w:r>
          </w:p>
        </w:tc>
      </w:tr>
      <w:tr>
        <w:trPr>
          <w:trHeight w:val="542" w:hRule="atLeast"/>
        </w:trPr>
        <w:tc>
          <w:tcPr>
            <w:tcW w:w="1663" w:type="pct"/>
            <w:vAlign w:val="center"/>
          </w:tcPr>
          <w:p>
            <w:r>
              <w:t xml:space="preserve">Dječji vrtić Sardelice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42187,83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2%</w:t>
            </w:r>
          </w:p>
        </w:tc>
      </w:tr>
      <w:tr>
        <w:trPr>
          <w:trHeight w:val="542" w:hRule="atLeast"/>
        </w:trPr>
        <w:tc>
          <w:tcPr>
            <w:tcW w:w="1663" w:type="pct"/>
            <w:vAlign w:val="center"/>
          </w:tcPr>
          <w:p>
            <w:r>
              <w:t xml:space="preserve">Muzej Staroga Grada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53847,04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2% </w:t>
            </w:r>
          </w:p>
        </w:tc>
      </w:tr>
      <w:tr>
        <w:trPr>
          <w:trHeight w:val="542" w:hRule="atLeast"/>
        </w:trPr>
        <w:tc>
          <w:tcPr>
            <w:tcW w:w="1663" w:type="pct"/>
            <w:vAlign w:val="center"/>
          </w:tcPr>
          <w:p>
            <w:r>
              <w:t xml:space="preserve">Gradska knjižnica i čitaonica Stari Grad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12496,01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0%</w:t>
            </w:r>
          </w:p>
        </w:tc>
      </w:tr>
      <w:tr>
        <w:trPr>
          <w:trHeight w:val="878" w:hRule="atLeast"/>
        </w:trPr>
        <w:tc>
          <w:tcPr>
            <w:tcW w:w="1663" w:type="pct"/>
            <w:vAlign w:val="center"/>
          </w:tcPr>
          <w:p>
            <w:r>
              <w:t xml:space="preserve">Javna ustanova Agencija za upravljanje Starogradskim poljem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7242,06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0%</w:t>
            </w:r>
          </w:p>
        </w:tc>
      </w:tr>
      <w:tr>
        <w:trPr>
          <w:trHeight w:val="542" w:hRule="atLeast"/>
        </w:trPr>
        <w:tc>
          <w:tcPr>
            <w:tcW w:w="1663" w:type="pct"/>
            <w:vAlign w:val="center"/>
          </w:tcPr>
          <w:p>
            <w:r>
              <w:t xml:space="preserve">Ukupno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 2.640.749,16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 </w:t>
            </w:r>
          </w:p>
        </w:tc>
      </w:tr>
    </w:tbl>
    <w:p>
      <w:r>
        <w:t xml:space="preserve"> </w:t>
      </w:r>
    </w:p>
    <w:p>
      <w:r>
        <w:t xml:space="preserve">Rashodi poslovanja (Šifra 3) u odnosu na prethodno izvještajno razdoblje bilježe pad od 1,2% i iznose 1.246.290,13 EUR. Struktura konsolidiranih rashoda poslovanja je:</w:t>
      </w:r>
    </w:p>
    <w:tbl>
      <w:tblPr>
        <w:tblStyle w:val="TableGrid"/>
        <w:tblW w:w="5004.75" w:type="pct"/>
      </w:tblPr>
      <w:tblGrid>
        <w:gridCol w:w="4811"/>
        <w:gridCol w:w="2406"/>
        <w:gridCol w:w="2406"/>
      </w:tblGrid>
      <w:tr>
        <w:trPr>
          <w:trHeight w:val="540" w:hRule="atLeast"/>
        </w:trPr>
        <w:tc>
          <w:tcPr>
            <w:tcW w:w="2500" w:type="pct"/>
            <w:vAlign w:val="center"/>
          </w:tcPr>
          <w:p>
            <w:r>
              <w:t xml:space="preserve"> 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center"/>
            </w:pPr>
            <w:r>
              <w:t xml:space="preserve"> Rashodi poslovanja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center"/>
            </w:pPr>
            <w:r>
              <w:t xml:space="preserve">Udio u rashodima poslovanja</w:t>
            </w:r>
          </w:p>
        </w:tc>
      </w:tr>
      <w:tr>
        <w:trPr>
          <w:trHeight w:val="540" w:hRule="atLeast"/>
        </w:trPr>
        <w:tc>
          <w:tcPr>
            <w:tcW w:w="2500" w:type="pct"/>
            <w:vAlign w:val="center"/>
          </w:tcPr>
          <w:p>
            <w:r>
              <w:t xml:space="preserve">Grad Stari Grad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765826,73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61%</w:t>
            </w:r>
          </w:p>
        </w:tc>
      </w:tr>
      <w:tr>
        <w:trPr>
          <w:trHeight w:val="540" w:hRule="atLeast"/>
        </w:trPr>
        <w:tc>
          <w:tcPr>
            <w:tcW w:w="2500" w:type="pct"/>
            <w:vAlign w:val="center"/>
          </w:tcPr>
          <w:p>
            <w:r>
              <w:t xml:space="preserve">Dječji vrtić Sardelice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278975,71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22%</w:t>
            </w:r>
          </w:p>
        </w:tc>
      </w:tr>
      <w:tr>
        <w:trPr>
          <w:trHeight w:val="540" w:hRule="atLeast"/>
        </w:trPr>
        <w:tc>
          <w:tcPr>
            <w:tcW w:w="2500" w:type="pct"/>
            <w:vAlign w:val="center"/>
          </w:tcPr>
          <w:p>
            <w:r>
              <w:t xml:space="preserve">Muzej Staroga Grada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102148,23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8%</w:t>
            </w:r>
          </w:p>
        </w:tc>
      </w:tr>
      <w:tr>
        <w:trPr>
          <w:trHeight w:val="540" w:hRule="atLeast"/>
        </w:trPr>
        <w:tc>
          <w:tcPr>
            <w:tcW w:w="2500" w:type="pct"/>
            <w:vAlign w:val="center"/>
          </w:tcPr>
          <w:p>
            <w:r>
              <w:t xml:space="preserve">Gradska knjižnica i čitaonica Stari Grad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48638,08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4%</w:t>
            </w:r>
          </w:p>
        </w:tc>
      </w:tr>
      <w:tr>
        <w:trPr>
          <w:trHeight w:val="540" w:hRule="atLeast"/>
        </w:trPr>
        <w:tc>
          <w:tcPr>
            <w:tcW w:w="2500" w:type="pct"/>
            <w:vAlign w:val="center"/>
          </w:tcPr>
          <w:p>
            <w:r>
              <w:t xml:space="preserve">Javna ustanova Agencija za upravljanje Starogradskim poljem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50701,38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4%</w:t>
            </w:r>
          </w:p>
        </w:tc>
      </w:tr>
      <w:tr>
        <w:trPr>
          <w:trHeight w:val="570" w:hRule="atLeast"/>
        </w:trPr>
        <w:tc>
          <w:tcPr>
            <w:tcW w:w="2500" w:type="pct"/>
            <w:vAlign w:val="center"/>
          </w:tcPr>
          <w:p>
            <w:r>
              <w:t xml:space="preserve">Ukupno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1.246.290,13</w:t>
            </w:r>
          </w:p>
        </w:tc>
        <w:tc>
          <w:tcPr>
            <w:tcW w:w="1250" w:type="pct"/>
            <w:vAlign w:val="center"/>
          </w:tcPr>
          <w:p>
            <w:pPr>
              <w:keepNext/>
              <w:jc w:val="right"/>
            </w:pPr>
            <w:r>
              <w:t xml:space="preserve"> </w:t>
            </w:r>
          </w:p>
        </w:tc>
      </w:tr>
    </w:tbl>
    <w:p>
      <w:r>
        <w:t xml:space="preserve"> </w:t>
      </w:r>
    </w:p>
    <w:p>
      <w:r>
        <w:t xml:space="preserve">Prihodi od prodaje nefinancijske imovine (Šifra 7) su ostvareno u iznosu 6.550,01 eura i odnose  se na prihode Muzeja. </w:t>
      </w:r>
    </w:p>
    <w:p>
      <w:r>
        <w:t xml:space="preserve">Rashodi za nabavu nefinancijske imovine (Šifra 4) u odnosu na prethodno izvještajno razdoblje bilježe rast od 104,2% i iznose 950.629,62 EUR. Struktura konsolidiranih rashoda za nabavu nefinancijske imovine je:</w:t>
      </w:r>
    </w:p>
    <w:tbl>
      <w:tblPr>
        <w:tblStyle w:val="TableGrid"/>
        <w:tblW w:w="5000" w:type="pct"/>
      </w:tblPr>
      <w:tblGrid>
        <w:gridCol w:w="3202"/>
        <w:gridCol w:w="3202"/>
        <w:gridCol w:w="3202"/>
      </w:tblGrid>
      <w:tr>
        <w:trPr>
          <w:trHeight w:val="878" w:hRule="atLeast"/>
        </w:trPr>
        <w:tc>
          <w:tcPr>
            <w:tcW w:w="1663" w:type="pct"/>
            <w:vAlign w:val="center"/>
          </w:tcPr>
          <w:p>
            <w:r>
              <w:t xml:space="preserve"> 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center"/>
            </w:pPr>
            <w:r>
              <w:t xml:space="preserve">Rashodi za nabavu nefinancijske imovine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center"/>
            </w:pPr>
            <w:r>
              <w:t xml:space="preserve">Udio u rashodima za nabavu nefinancijske imovine</w:t>
            </w:r>
          </w:p>
        </w:tc>
      </w:tr>
      <w:tr>
        <w:trPr>
          <w:trHeight w:val="554" w:hRule="atLeast"/>
        </w:trPr>
        <w:tc>
          <w:tcPr>
            <w:tcW w:w="1663" w:type="pct"/>
            <w:vAlign w:val="center"/>
          </w:tcPr>
          <w:p>
            <w:r>
              <w:t xml:space="preserve">Grad Stari Grad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 936066,77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99%</w:t>
            </w:r>
          </w:p>
        </w:tc>
      </w:tr>
      <w:tr>
        <w:trPr>
          <w:trHeight w:val="542" w:hRule="atLeast"/>
        </w:trPr>
        <w:tc>
          <w:tcPr>
            <w:tcW w:w="1663" w:type="pct"/>
            <w:vAlign w:val="center"/>
          </w:tcPr>
          <w:p>
            <w:r>
              <w:t xml:space="preserve">Dječji vrtić Sardelice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1329,99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0%</w:t>
            </w:r>
          </w:p>
        </w:tc>
      </w:tr>
      <w:tr>
        <w:trPr>
          <w:trHeight w:val="542" w:hRule="atLeast"/>
        </w:trPr>
        <w:tc>
          <w:tcPr>
            <w:tcW w:w="1663" w:type="pct"/>
            <w:vAlign w:val="center"/>
          </w:tcPr>
          <w:p>
            <w:r>
              <w:t xml:space="preserve">Muzej Staroga Grada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 0,00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0%</w:t>
            </w:r>
          </w:p>
        </w:tc>
      </w:tr>
      <w:tr>
        <w:trPr>
          <w:trHeight w:val="542" w:hRule="atLeast"/>
        </w:trPr>
        <w:tc>
          <w:tcPr>
            <w:tcW w:w="1663" w:type="pct"/>
            <w:vAlign w:val="center"/>
          </w:tcPr>
          <w:p>
            <w:r>
              <w:t xml:space="preserve">Gradska knjižnica i čitaonica Stari Grad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13232,86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1%</w:t>
            </w:r>
          </w:p>
        </w:tc>
      </w:tr>
      <w:tr>
        <w:trPr>
          <w:trHeight w:val="878" w:hRule="atLeast"/>
        </w:trPr>
        <w:tc>
          <w:tcPr>
            <w:tcW w:w="1663" w:type="pct"/>
            <w:vAlign w:val="center"/>
          </w:tcPr>
          <w:p>
            <w:r>
              <w:t xml:space="preserve">Javna ustanova Agencija za upravljanje Starogradskim poljem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0,00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0%</w:t>
            </w:r>
          </w:p>
        </w:tc>
      </w:tr>
      <w:tr>
        <w:trPr>
          <w:trHeight w:val="542" w:hRule="atLeast"/>
        </w:trPr>
        <w:tc>
          <w:tcPr>
            <w:tcW w:w="1663" w:type="pct"/>
            <w:vAlign w:val="center"/>
          </w:tcPr>
          <w:p>
            <w:r>
              <w:t xml:space="preserve">Ukupno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 950.629,62</w:t>
            </w:r>
          </w:p>
        </w:tc>
        <w:tc>
          <w:tcPr>
            <w:tcW w:w="1663" w:type="pct"/>
            <w:vAlign w:val="center"/>
          </w:tcPr>
          <w:p>
            <w:pPr>
              <w:keepNext/>
              <w:jc w:val="right"/>
            </w:pPr>
            <w:r>
              <w:t xml:space="preserve"> </w:t>
            </w:r>
          </w:p>
        </w:tc>
      </w:tr>
    </w:tbl>
    <w:p>
      <w:r>
        <w:t xml:space="preserve"> </w:t>
      </w:r>
    </w:p>
    <w:p>
      <w:r>
        <w:t xml:space="preserve">Primici od financijske imovine i zaduživanja (Šifra 8) nisu realizirani.</w:t>
      </w:r>
    </w:p>
    <w:p>
      <w:r>
        <w:t xml:space="preserve"> </w:t>
      </w:r>
    </w:p>
    <w:p>
      <w:r>
        <w:t xml:space="preserve">Izdaci za financijsku imovinu i otplate zajmova (Šifra 5)  su realizirani u iznosu od 100.375,50 eura i odnose se na izdatak Grada Staroga Grada. Radi se o povratu glavnice beskamatnog zajma državnog proračuna iz za rješavanje problema deposediranih zemljišta.</w:t>
      </w:r>
    </w:p>
    <w:p>
      <w:r>
        <w:t xml:space="preserve"> </w:t>
      </w:r>
    </w:p>
    <w:p>
      <w:r>
        <w:t xml:space="preserve">Ostvaren je ukupni višak prihoda i primitaka od 350.003,92 eura. Struktura rezultata je: </w:t>
      </w:r>
    </w:p>
    <w:tbl>
      <w:tblPr>
        <w:tblStyle w:val="TableGrid"/>
        <w:tblW w:w="5000" w:type="pct"/>
      </w:tblPr>
      <w:tblGrid>
        <w:gridCol w:w="4811"/>
        <w:gridCol w:w="4811"/>
      </w:tblGrid>
      <w:tr>
        <w:trPr>
          <w:trHeight w:val="542" w:hRule="atLeast"/>
        </w:trPr>
        <w:tc>
          <w:tcPr>
            <w:tcW w:w="2500" w:type="pct"/>
            <w:vAlign w:val="center"/>
          </w:tcPr>
          <w:p>
            <w:r>
              <w:t xml:space="preserve"> 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center"/>
            </w:pPr>
            <w:r>
              <w:t xml:space="preserve">Višak/manjak</w:t>
            </w:r>
          </w:p>
        </w:tc>
      </w:tr>
      <w:tr>
        <w:trPr>
          <w:trHeight w:val="542" w:hRule="atLeast"/>
        </w:trPr>
        <w:tc>
          <w:tcPr>
            <w:tcW w:w="2500" w:type="pct"/>
            <w:vAlign w:val="center"/>
          </w:tcPr>
          <w:p>
            <w:r>
              <w:t xml:space="preserve">Grad Stari Grad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348.777,09</w:t>
            </w:r>
          </w:p>
        </w:tc>
      </w:tr>
      <w:tr>
        <w:trPr>
          <w:trHeight w:val="542" w:hRule="atLeast"/>
        </w:trPr>
        <w:tc>
          <w:tcPr>
            <w:tcW w:w="2500" w:type="pct"/>
            <w:vAlign w:val="center"/>
          </w:tcPr>
          <w:p>
            <w:r>
              <w:t xml:space="preserve">Dječji vrtić Sardelice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-4.075,02</w:t>
            </w:r>
          </w:p>
        </w:tc>
      </w:tr>
      <w:tr>
        <w:trPr>
          <w:trHeight w:val="542" w:hRule="atLeast"/>
        </w:trPr>
        <w:tc>
          <w:tcPr>
            <w:tcW w:w="2500" w:type="pct"/>
            <w:vAlign w:val="center"/>
          </w:tcPr>
          <w:p>
            <w:r>
              <w:t xml:space="preserve">Muzej Staroga Grada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11.629,75</w:t>
            </w:r>
          </w:p>
        </w:tc>
      </w:tr>
      <w:tr>
        <w:trPr>
          <w:trHeight w:val="542" w:hRule="atLeast"/>
        </w:trPr>
        <w:tc>
          <w:tcPr>
            <w:tcW w:w="2500" w:type="pct"/>
            <w:vAlign w:val="center"/>
          </w:tcPr>
          <w:p>
            <w:r>
              <w:t xml:space="preserve">Gradska knjižnica i čitaonica Stari Grad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-1.462,83</w:t>
            </w:r>
          </w:p>
        </w:tc>
      </w:tr>
      <w:tr>
        <w:trPr>
          <w:trHeight w:val="482" w:hRule="atLeast"/>
        </w:trPr>
        <w:tc>
          <w:tcPr>
            <w:tcW w:w="2500" w:type="pct"/>
            <w:vAlign w:val="center"/>
          </w:tcPr>
          <w:p>
            <w:r>
              <w:t xml:space="preserve">Javna ustanova Agencija za upravljanje Starogradskim poljem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-4.865,07</w:t>
            </w:r>
          </w:p>
        </w:tc>
      </w:tr>
      <w:tr>
        <w:trPr>
          <w:trHeight w:val="542" w:hRule="atLeast"/>
        </w:trPr>
        <w:tc>
          <w:tcPr>
            <w:tcW w:w="2500" w:type="pct"/>
            <w:vAlign w:val="center"/>
          </w:tcPr>
          <w:p>
            <w:r>
              <w:t xml:space="preserve">Ukupno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350.003,92</w:t>
            </w:r>
          </w:p>
        </w:tc>
      </w:tr>
    </w:tbl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17.745,98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(Šifra V007) u ukupnom iznosu 17.745,98 eura se odnose na:</w:t>
      </w:r>
    </w:p>
    <w:p>
      <w:r>
        <w:t xml:space="preserve">- Obveze za materijalne rashode (Šifra D232) u iznosu 7.842,07 eura sa prekoračenjem preko 360 dana (usluge prijevoza i održavanja). </w:t>
      </w:r>
    </w:p>
    <w:p>
      <w:r>
        <w:t xml:space="preserve">- Obveze za kazne, naknade šteta i kapitalne pomoći u iznosu 5.344,88 eura sa kašnjenjem preko 360 dana (kapitalna pomoć Hvarskom vodovodu d.o.o. (Šifra D238D)).</w:t>
      </w:r>
    </w:p>
    <w:p>
      <w:r>
        <w:t xml:space="preserve">- Obveze za nabavu nefinancijske imovine u iznosu od 4.559,03 eura (Šifra D24D) za radove sa prekoračenjem preko 360 dana.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Unutargrupne transakcije koje su u izvještajima eliminirane su kod nadležnog proračuna na razini 22 prikazane na kontu 367, a kod proračunskih korisnika na razini 21 na kontu 671. Ukupan iznos takvih transakcija od 373.930,13 eura je raspoređen na proračunske korisnike za plaće i materijalne rashode: </w:t>
      </w:r>
    </w:p>
    <w:tbl>
      <w:tblPr>
        <w:tblStyle w:val="TableGrid"/>
        <w:tblW w:w="5000" w:type="pct"/>
      </w:tblPr>
      <w:tblGrid>
        <w:gridCol w:w="4811"/>
        <w:gridCol w:w="4811"/>
      </w:tblGrid>
      <w:tr>
        <w:trPr>
          <w:trHeight w:val="600" w:hRule="atLeast"/>
        </w:trPr>
        <w:tc>
          <w:tcPr>
            <w:tcW w:w="2500" w:type="pct"/>
            <w:vAlign w:val="center"/>
          </w:tcPr>
          <w:p>
            <w:r>
              <w:t xml:space="preserve"> 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center"/>
            </w:pPr>
            <w:r>
              <w:t xml:space="preserve">Iznos</w:t>
            </w:r>
          </w:p>
        </w:tc>
      </w:tr>
      <w:tr>
        <w:trPr>
          <w:trHeight w:val="593" w:hRule="atLeast"/>
        </w:trPr>
        <w:tc>
          <w:tcPr>
            <w:tcW w:w="2500" w:type="pct"/>
            <w:vAlign w:val="center"/>
          </w:tcPr>
          <w:p>
            <w:r>
              <w:t xml:space="preserve">Dječji vrtić Sardelice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234.042,85</w:t>
            </w:r>
          </w:p>
        </w:tc>
      </w:tr>
      <w:tr>
        <w:trPr>
          <w:trHeight w:val="542" w:hRule="atLeast"/>
        </w:trPr>
        <w:tc>
          <w:tcPr>
            <w:tcW w:w="2500" w:type="pct"/>
            <w:vAlign w:val="center"/>
          </w:tcPr>
          <w:p>
            <w:r>
              <w:t xml:space="preserve">Muzej Staroga Grada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53.380,93</w:t>
            </w:r>
          </w:p>
        </w:tc>
      </w:tr>
      <w:tr>
        <w:trPr>
          <w:trHeight w:val="687" w:hRule="atLeast"/>
        </w:trPr>
        <w:tc>
          <w:tcPr>
            <w:tcW w:w="2500" w:type="pct"/>
            <w:vAlign w:val="center"/>
          </w:tcPr>
          <w:p>
            <w:r>
              <w:t xml:space="preserve">Gradska knjižnica i čitaonica Stari Grad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47.912,10</w:t>
            </w:r>
          </w:p>
        </w:tc>
      </w:tr>
      <w:tr>
        <w:trPr>
          <w:trHeight w:val="542" w:hRule="atLeast"/>
        </w:trPr>
        <w:tc>
          <w:tcPr>
            <w:tcW w:w="2500" w:type="pct"/>
            <w:vAlign w:val="center"/>
          </w:tcPr>
          <w:p>
            <w:r>
              <w:t xml:space="preserve">Javna ustanova Agencija za upravljanje Starogradskim poljem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38.594,25</w:t>
            </w:r>
          </w:p>
        </w:tc>
      </w:tr>
      <w:tr>
        <w:trPr>
          <w:trHeight w:val="436" w:hRule="atLeast"/>
        </w:trPr>
        <w:tc>
          <w:tcPr>
            <w:tcW w:w="2500" w:type="pct"/>
            <w:vAlign w:val="center"/>
          </w:tcPr>
          <w:p>
            <w:r>
              <w:t xml:space="preserve">Ukupno</w:t>
            </w:r>
          </w:p>
        </w:tc>
        <w:tc>
          <w:tcPr>
            <w:tcW w:w="2500" w:type="pct"/>
            <w:vAlign w:val="center"/>
          </w:tcPr>
          <w:p>
            <w:pPr>
              <w:keepNext/>
              <w:jc w:val="right"/>
            </w:pPr>
            <w:r>
              <w:t xml:space="preserve">373.930,13</w:t>
            </w:r>
          </w:p>
        </w:tc>
      </w:tr>
    </w:tbl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Preneseni višak prihoda i primitaka (Šifra 9221-9222) iznosi 718.780,30 EUR. Ukupni višak prihoda i primitaka raspoloživ u sljedećim razdobljima (Šifra X006) iznosi 1.068.784,22 EUR. Struktura rezultata je:</w:t>
      </w:r>
    </w:p>
    <w:tbl>
      <w:tblPr>
        <w:tblStyle w:val="TableGrid"/>
        <w:tblW w:w="5000" w:type="pct"/>
      </w:tblPr>
      <w:tblGrid>
        <w:gridCol w:w="4807"/>
        <w:gridCol w:w="4807"/>
      </w:tblGrid>
      <w:tr>
        <w:trPr>
          <w:trHeight w:val="542" w:hRule="atLeast"/>
        </w:trPr>
        <w:tc>
          <w:tcPr>
            <w:tcW w:w="2497" w:type="pct"/>
            <w:vAlign w:val="center"/>
          </w:tcPr>
          <w:p>
            <w:r>
              <w:t xml:space="preserve"> </w:t>
            </w:r>
          </w:p>
        </w:tc>
        <w:tc>
          <w:tcPr>
            <w:tcW w:w="2497" w:type="pct"/>
            <w:vAlign w:val="center"/>
          </w:tcPr>
          <w:p>
            <w:pPr>
              <w:keepNext/>
              <w:jc w:val="center"/>
            </w:pPr>
            <w:r>
              <w:t xml:space="preserve">Raspoloživo u sljedećem razdoblju</w:t>
            </w:r>
          </w:p>
        </w:tc>
      </w:tr>
      <w:tr>
        <w:trPr>
          <w:trHeight w:val="542" w:hRule="atLeast"/>
        </w:trPr>
        <w:tc>
          <w:tcPr>
            <w:tcW w:w="2497" w:type="pct"/>
            <w:vAlign w:val="center"/>
          </w:tcPr>
          <w:p>
            <w:r>
              <w:t xml:space="preserve"> Grad Stari Grad</w:t>
            </w:r>
          </w:p>
        </w:tc>
        <w:tc>
          <w:tcPr>
            <w:tcW w:w="2497" w:type="pct"/>
            <w:vAlign w:val="center"/>
          </w:tcPr>
          <w:p>
            <w:pPr>
              <w:keepNext/>
              <w:jc w:val="right"/>
            </w:pPr>
            <w:r>
              <w:t xml:space="preserve">1.053.856,23</w:t>
            </w:r>
          </w:p>
        </w:tc>
      </w:tr>
      <w:tr>
        <w:trPr>
          <w:trHeight w:val="542" w:hRule="atLeast"/>
        </w:trPr>
        <w:tc>
          <w:tcPr>
            <w:tcW w:w="2497" w:type="pct"/>
            <w:vAlign w:val="center"/>
          </w:tcPr>
          <w:p>
            <w:r>
              <w:t xml:space="preserve">Dječji vrtić Sardelice</w:t>
            </w:r>
          </w:p>
        </w:tc>
        <w:tc>
          <w:tcPr>
            <w:tcW w:w="2497" w:type="pct"/>
            <w:vAlign w:val="center"/>
          </w:tcPr>
          <w:p>
            <w:pPr>
              <w:keepNext/>
              <w:jc w:val="right"/>
            </w:pPr>
            <w:r>
              <w:t xml:space="preserve">-16.721,06</w:t>
            </w:r>
          </w:p>
        </w:tc>
      </w:tr>
      <w:tr>
        <w:trPr>
          <w:trHeight w:val="542" w:hRule="atLeast"/>
        </w:trPr>
        <w:tc>
          <w:tcPr>
            <w:tcW w:w="2497" w:type="pct"/>
            <w:vAlign w:val="center"/>
          </w:tcPr>
          <w:p>
            <w:r>
              <w:t xml:space="preserve">Muzej Staroga Grada</w:t>
            </w:r>
          </w:p>
        </w:tc>
        <w:tc>
          <w:tcPr>
            <w:tcW w:w="2497" w:type="pct"/>
            <w:vAlign w:val="center"/>
          </w:tcPr>
          <w:p>
            <w:pPr>
              <w:keepNext/>
              <w:jc w:val="right"/>
            </w:pPr>
            <w:r>
              <w:t xml:space="preserve">48.193,16</w:t>
            </w:r>
          </w:p>
        </w:tc>
      </w:tr>
      <w:tr>
        <w:trPr>
          <w:trHeight w:val="542" w:hRule="atLeast"/>
        </w:trPr>
        <w:tc>
          <w:tcPr>
            <w:tcW w:w="2497" w:type="pct"/>
            <w:vAlign w:val="center"/>
          </w:tcPr>
          <w:p>
            <w:r>
              <w:t xml:space="preserve">Gradska knjižnica i čitaonica Stari Grad</w:t>
            </w:r>
          </w:p>
        </w:tc>
        <w:tc>
          <w:tcPr>
            <w:tcW w:w="2497" w:type="pct"/>
            <w:vAlign w:val="center"/>
          </w:tcPr>
          <w:p>
            <w:pPr>
              <w:keepNext/>
              <w:jc w:val="right"/>
            </w:pPr>
            <w:r>
              <w:t xml:space="preserve">-14.854,69</w:t>
            </w:r>
          </w:p>
        </w:tc>
      </w:tr>
      <w:tr>
        <w:trPr>
          <w:trHeight w:val="542" w:hRule="atLeast"/>
        </w:trPr>
        <w:tc>
          <w:tcPr>
            <w:tcW w:w="2497" w:type="pct"/>
            <w:vAlign w:val="center"/>
          </w:tcPr>
          <w:p>
            <w:r>
              <w:t xml:space="preserve">Javna ustanova Agencija za upravljanje Starogradskim poljem</w:t>
            </w:r>
          </w:p>
        </w:tc>
        <w:tc>
          <w:tcPr>
            <w:tcW w:w="2497" w:type="pct"/>
            <w:vAlign w:val="center"/>
          </w:tcPr>
          <w:p>
            <w:pPr>
              <w:keepNext/>
              <w:jc w:val="right"/>
            </w:pPr>
            <w:r>
              <w:t xml:space="preserve">-1.689,42</w:t>
            </w:r>
          </w:p>
        </w:tc>
      </w:tr>
      <w:tr>
        <w:trPr>
          <w:trHeight w:val="623" w:hRule="atLeast"/>
        </w:trPr>
        <w:tc>
          <w:tcPr>
            <w:tcW w:w="2497" w:type="pct"/>
            <w:vAlign w:val="center"/>
          </w:tcPr>
          <w:p>
            <w:r>
              <w:t xml:space="preserve">Ukupno</w:t>
            </w:r>
          </w:p>
        </w:tc>
        <w:tc>
          <w:tcPr>
            <w:tcW w:w="2497" w:type="pct"/>
            <w:vAlign w:val="center"/>
          </w:tcPr>
          <w:p>
            <w:pPr>
              <w:keepNext/>
              <w:jc w:val="right"/>
            </w:pPr>
            <w:r>
              <w:t xml:space="preserve">1.068.784,22</w:t>
            </w:r>
          </w:p>
        </w:tc>
      </w:tr>
    </w:tbl>
    <w:p>
      <w:r>
        <w:t xml:space="preserve">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fa761207784157" /></Relationships>
</file>