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5381a50cf471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29582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 STARI GRAD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577.037,57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1.089.657,49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480.644,70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513.957,09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96.392,87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575.700,40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597,2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29.784,83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547.798,93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1839,2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29.784,83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547.798,93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1839,2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50.187,75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50.187,75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22.286,28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Grad Stari Grad ostvario je ukupni manjak prihoda i primitaka u iznosu od 22.286,28 eura. Preneseni višak prihoda i primitaka iznosi 705.079,14 eura, te višak prihoda i primitaka raspoloživ u sljedećem razdoblju iznosi 682.792,86 eura.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18.813,00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19.672,89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104,6</w:t>
            </w:r>
          </w:p>
        </w:tc>
      </w:tr>
    </w:tbl>
    <w:p>
      <w:pPr>
        <w:spacing w:before="0" w:after="0"/>
      </w:pPr>
    </w:p>
    <w:p>
      <w:r>
        <w:t xml:space="preserve">Tekuće pomoći se odnose na fiskalno izravnanje i fiskalnu održivost dječjih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144.045,67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192,1</w:t>
            </w:r>
          </w:p>
        </w:tc>
      </w:tr>
    </w:tbl>
    <w:p>
      <w:pPr>
        <w:spacing w:before="0" w:after="0"/>
      </w:pPr>
    </w:p>
    <w:p>
      <w:r>
        <w:t xml:space="preserve">Kapitalne pomoći se odnose na pomoć za uređenje dječjeg igrališta u parku Vorba i uređenje okoliša osnovne škole.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217.510,45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Kapitalna pomoć se odnosi na odobrenje 2. ZNS-a za gradnju Centra za upravljanje rizicima od požara i katastrofa.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Naknada za korištenje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6.279,60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63.384,38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1009,4</w:t>
            </w:r>
          </w:p>
        </w:tc>
      </w:tr>
    </w:tbl>
    <w:p>
      <w:pPr>
        <w:spacing w:before="0" w:after="0"/>
      </w:pPr>
    </w:p>
    <w:p>
      <w:r>
        <w:t xml:space="preserve">Povećanje se odnosi na plaćanje rate za naknadu za služnost na zemljištu u vlasništvu grada.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3.111,12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34.837,20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1119,8</w:t>
            </w:r>
          </w:p>
        </w:tc>
      </w:tr>
    </w:tbl>
    <w:p>
      <w:pPr>
        <w:spacing w:before="0" w:after="0"/>
      </w:pPr>
    </w:p>
    <w:p>
      <w:r>
        <w:t xml:space="preserve">Prihod od komunalnog doprinosa bilježi rast radi bolje naplate i bržeg rješavanja predmeta.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5.063,95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35.800,27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707,0</w:t>
            </w:r>
          </w:p>
        </w:tc>
      </w:tr>
    </w:tbl>
    <w:p>
      <w:pPr>
        <w:spacing w:before="0" w:after="0"/>
      </w:pPr>
    </w:p>
    <w:p>
      <w:r>
        <w:t xml:space="preserve">Prihod od komunalne nakade bilježi rast radi dospjeća zadnjeg kvartala 2025. godine u siječnju 2026.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13.065,99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47.687,86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365,0</w:t>
            </w:r>
          </w:p>
        </w:tc>
      </w:tr>
    </w:tbl>
    <w:p>
      <w:pPr>
        <w:spacing w:before="0" w:after="0"/>
      </w:pPr>
    </w:p>
    <w:p>
      <w:r>
        <w:t xml:space="preserve">Usluge tekućeg i investicijskog održavanja se odnose na održavanje fasade zgrade gradske uprave, održavanje rampi, javne rasvjete i kino opreme, uređenje površine i postavljanje dječjih igračaka u Rudini i demontažu nadstrešnice u uvali Vlaška.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7.049,38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15.560,00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220,7</w:t>
            </w:r>
          </w:p>
        </w:tc>
      </w:tr>
    </w:tbl>
    <w:p>
      <w:pPr>
        <w:spacing w:before="0" w:after="0"/>
      </w:pPr>
    </w:p>
    <w:p>
      <w:r>
        <w:t xml:space="preserve">Zakupnine se odnose na zakup šatora za advent i feštu u Vrbanju i zakup stanova za smještaj sudaca, djelatnika katastra i Centra Juraj Bonači.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Troškovi sudskih postupaka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61.689,53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 se odnosi na troškove postupaka za deposedirana zemljišta.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financijski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59.441,93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2025. godini su isplaćivane rate nagodbe za deposedirana zemljišta.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proračunskim korisnicima iz nadležnog proračuna za financiranje redovne djelatnosti (šifre 3672 do 3674)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148.561,20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190.570,00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128,3</w:t>
            </w:r>
          </w:p>
        </w:tc>
      </w:tr>
    </w:tbl>
    <w:p>
      <w:pPr>
        <w:spacing w:before="0" w:after="0"/>
      </w:pPr>
    </w:p>
    <w:p>
      <w:r>
        <w:t xml:space="preserve">Prijenosi korisnicima iz nadležnosti se odnose na rashode za plaće, materijalne troškove i nabavu imovine.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331.240,00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Ulaganja se odnose na gradnju Centra za upravljanje rizicima od požara i katastrofa.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građevinski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51.099,88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8176,0</w:t>
            </w:r>
          </w:p>
        </w:tc>
      </w:tr>
    </w:tbl>
    <w:p>
      <w:pPr>
        <w:spacing w:before="0" w:after="0"/>
      </w:pPr>
    </w:p>
    <w:p>
      <w:r>
        <w:t xml:space="preserve">Ulaganja se odnose na okoliš osnovne škole i uređenje parkirališta na terminalu za Poreznu upravu.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97.200,50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1896,6</w:t>
            </w:r>
          </w:p>
        </w:tc>
      </w:tr>
    </w:tbl>
    <w:p>
      <w:pPr>
        <w:spacing w:before="0" w:after="0"/>
      </w:pPr>
    </w:p>
    <w:p>
      <w:r>
        <w:t xml:space="preserve">Nabava opreme se odnosi na sprave za dječje igralište u parku Vorba i nabavu opreme za nogometna igrališta.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22.545,50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64.266,31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285,1</w:t>
            </w:r>
          </w:p>
        </w:tc>
      </w:tr>
    </w:tbl>
    <w:p>
      <w:pPr>
        <w:spacing w:before="0" w:after="0"/>
      </w:pPr>
    </w:p>
    <w:p>
      <w:r>
        <w:t xml:space="preserve">Ulaganja se odnose na nadstrešnicu Dom Vir i sanaciju krova zgrade gradske uprave.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50.187,75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Izdaci se odnose na otplatu glavnice zajma državnog proračuna za deposedirana zemljišta.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32.203,55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(Šifra V007) u ukupnom iznosu 32.203,55 EUR:</w:t>
      </w:r>
    </w:p>
    <w:p>
      <w:r>
        <w:t xml:space="preserve">- Obveze za materijalne rashode u iznosu 18.493,39 EUR sa prekoračenjem preko 360 dana (usluge prijevoza, organizacije i održavanja). </w:t>
      </w:r>
    </w:p>
    <w:p>
      <w:r>
        <w:t xml:space="preserve">- Obveze za kazne, naknade šteta i kapitalne pomoći u iznosu 5.344,88 sa kašnjenjem preko 360 dana (kapitalna pomoć Hvarskom vodovodu d.o.o.).</w:t>
      </w:r>
    </w:p>
    <w:p>
      <w:r>
        <w:t xml:space="preserve">- Obveze za nabavu nefinancijske imovine u iznosu od 8.365,28 EUR, od čega 4.559,03 EUR sa prekoračenjem preko 360 dana za radove te 3.806,25 s prekoračenjem od 1-60 dana.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Ostvaren je prihod od EU u iznosu od 217.510,45 EUR iz Europskog fonda za regionalni razvoj. Prihod je knjižen po odobrenom 2. ZNS-u iz isplaćenog predujma za projekt izgradnje Centra za upravljanje rizicima od požara i katastrofa.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816c3233284936" /></Relationships>
</file>