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99a8ef969d43ac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29582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GRAD STARI GRAD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23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3.821.428,10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4.752.370,09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2.796.612,48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6.845.883,86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244,8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2.093.513,77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5.360,00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988.915,25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1.495.098,97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151,2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983.555,25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1.495.098,97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152,0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3.613.518,02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66.500,00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PRIMITAKA OD FINANCIJSKE IMOVINE I ZADUŽIVANJA (šifre 8-5)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3.547.018,02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41.594,72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Konsolidirano financijsko izvješće se odnosi na Grad Stari Grad - Gradski proračun te proračunske korisnike:</w:t>
      </w:r>
    </w:p>
    <w:p>
      <w:r>
        <w:t xml:space="preserve">- DJEČJI VRTIĆ SARDELICE</w:t>
      </w:r>
    </w:p>
    <w:p>
      <w:r>
        <w:t xml:space="preserve">- GRADSKA KNJIŽNICA STARI GRAD</w:t>
      </w:r>
    </w:p>
    <w:p>
      <w:r>
        <w:t xml:space="preserve">- MUZEJ STAROGA GRADA</w:t>
      </w:r>
    </w:p>
    <w:p>
      <w:r>
        <w:t xml:space="preserve">- JAVNA USTANOVA AGENCIJA ZA UPRAVLJANJE STAROGRADSKIM POLJEM</w:t>
      </w:r>
    </w:p>
    <w:p>
      <w:r>
        <w:t xml:space="preserve"> </w:t>
      </w:r>
    </w:p>
    <w:p>
      <w:r>
        <w:t xml:space="preserve">Konsolidirani Prihodi poslovanja izvještajnog razdoblja (Šifra 6) iznose 4.752.370,09 EUR. U odnosu na prethodno izvještajno razdoblje bilježe rast od 24,4%. Struktura prihoda je:</w:t>
      </w:r>
    </w:p>
    <w:tbl>
      <w:tblPr>
        <w:tblStyle w:val="TableGrid"/>
        <w:tblW w:w="4748.815" w:type="pct"/>
      </w:tblPr>
      <w:tblGrid>
        <w:gridCol w:w="5573"/>
        <w:gridCol w:w="2076"/>
        <w:gridCol w:w="1975"/>
      </w:tblGrid>
      <w:tr>
        <w:trPr>
          <w:trHeight w:val="542" w:hRule="atLeast"/>
        </w:trPr>
        <w:tc>
          <w:tcPr>
            <w:tcW w:w="2895" w:type="pct"/>
            <w:vAlign w:val="center"/>
          </w:tcPr>
          <w:p>
            <w:r>
              <w:t xml:space="preserve"> </w:t>
            </w:r>
          </w:p>
        </w:tc>
        <w:tc>
          <w:tcPr>
            <w:tcW w:w="1078" w:type="pct"/>
            <w:vAlign w:val="center"/>
          </w:tcPr>
          <w:p>
            <w:pPr>
              <w:keepNext/>
              <w:jc w:val="center"/>
            </w:pPr>
            <w:r>
              <w:t xml:space="preserve">Prihodi</w:t>
            </w:r>
          </w:p>
        </w:tc>
        <w:tc>
          <w:tcPr>
            <w:tcW w:w="1026" w:type="pct"/>
            <w:vAlign w:val="center"/>
          </w:tcPr>
          <w:p>
            <w:pPr>
              <w:keepNext/>
              <w:jc w:val="center"/>
            </w:pPr>
            <w:r>
              <w:t xml:space="preserve">Udio u prihodima</w:t>
            </w:r>
          </w:p>
        </w:tc>
      </w:tr>
      <w:tr>
        <w:trPr>
          <w:trHeight w:val="542" w:hRule="atLeast"/>
        </w:trPr>
        <w:tc>
          <w:tcPr>
            <w:tcW w:w="2895" w:type="pct"/>
            <w:vAlign w:val="center"/>
          </w:tcPr>
          <w:p>
            <w:r>
              <w:t xml:space="preserve">Grad Stari Grad</w:t>
            </w:r>
          </w:p>
        </w:tc>
        <w:tc>
          <w:tcPr>
            <w:tcW w:w="1078" w:type="pct"/>
            <w:vAlign w:val="center"/>
          </w:tcPr>
          <w:p>
            <w:pPr>
              <w:keepNext/>
              <w:jc w:val="right"/>
            </w:pPr>
            <w:r>
              <w:t xml:space="preserve">4.413.543,69</w:t>
            </w:r>
          </w:p>
        </w:tc>
        <w:tc>
          <w:tcPr>
            <w:tcW w:w="1026" w:type="pct"/>
            <w:vAlign w:val="center"/>
          </w:tcPr>
          <w:p>
            <w:pPr>
              <w:keepNext/>
              <w:jc w:val="right"/>
            </w:pPr>
            <w:r>
              <w:t xml:space="preserve">93%</w:t>
            </w:r>
          </w:p>
        </w:tc>
      </w:tr>
      <w:tr>
        <w:trPr>
          <w:trHeight w:val="602" w:hRule="atLeast"/>
        </w:trPr>
        <w:tc>
          <w:tcPr>
            <w:tcW w:w="2895" w:type="pct"/>
            <w:vAlign w:val="center"/>
          </w:tcPr>
          <w:p>
            <w:r>
              <w:t xml:space="preserve">Dječji vrtić Sardelice</w:t>
            </w:r>
          </w:p>
        </w:tc>
        <w:tc>
          <w:tcPr>
            <w:tcW w:w="1078" w:type="pct"/>
            <w:vAlign w:val="center"/>
          </w:tcPr>
          <w:p>
            <w:pPr>
              <w:keepNext/>
              <w:jc w:val="right"/>
            </w:pPr>
            <w:r>
              <w:t xml:space="preserve">73.736,47</w:t>
            </w:r>
          </w:p>
        </w:tc>
        <w:tc>
          <w:tcPr>
            <w:tcW w:w="1026" w:type="pct"/>
            <w:vAlign w:val="center"/>
          </w:tcPr>
          <w:p>
            <w:pPr>
              <w:keepNext/>
              <w:jc w:val="right"/>
            </w:pPr>
            <w:r>
              <w:t xml:space="preserve">2%</w:t>
            </w:r>
          </w:p>
        </w:tc>
      </w:tr>
      <w:tr>
        <w:trPr>
          <w:trHeight w:val="542" w:hRule="atLeast"/>
        </w:trPr>
        <w:tc>
          <w:tcPr>
            <w:tcW w:w="2895" w:type="pct"/>
            <w:vAlign w:val="center"/>
          </w:tcPr>
          <w:p>
            <w:r>
              <w:t xml:space="preserve">Muzej Staroga Grada</w:t>
            </w:r>
          </w:p>
        </w:tc>
        <w:tc>
          <w:tcPr>
            <w:tcW w:w="1078" w:type="pct"/>
            <w:vAlign w:val="center"/>
          </w:tcPr>
          <w:p>
            <w:pPr>
              <w:keepNext/>
              <w:jc w:val="right"/>
            </w:pPr>
            <w:r>
              <w:t xml:space="preserve">52.268,46</w:t>
            </w:r>
          </w:p>
        </w:tc>
        <w:tc>
          <w:tcPr>
            <w:tcW w:w="1026" w:type="pct"/>
            <w:vAlign w:val="center"/>
          </w:tcPr>
          <w:p>
            <w:pPr>
              <w:keepNext/>
              <w:jc w:val="right"/>
            </w:pPr>
            <w:r>
              <w:t xml:space="preserve">1%</w:t>
            </w:r>
          </w:p>
        </w:tc>
      </w:tr>
      <w:tr>
        <w:trPr>
          <w:trHeight w:val="542" w:hRule="atLeast"/>
        </w:trPr>
        <w:tc>
          <w:tcPr>
            <w:tcW w:w="2895" w:type="pct"/>
            <w:vAlign w:val="center"/>
          </w:tcPr>
          <w:p>
            <w:r>
              <w:t xml:space="preserve">Gradska knjižnica i čitaonica Stari Grad</w:t>
            </w:r>
          </w:p>
        </w:tc>
        <w:tc>
          <w:tcPr>
            <w:tcW w:w="1078" w:type="pct"/>
            <w:vAlign w:val="center"/>
          </w:tcPr>
          <w:p>
            <w:pPr>
              <w:keepNext/>
              <w:jc w:val="right"/>
            </w:pPr>
            <w:r>
              <w:t xml:space="preserve">10.269,03</w:t>
            </w:r>
          </w:p>
        </w:tc>
        <w:tc>
          <w:tcPr>
            <w:tcW w:w="1026" w:type="pct"/>
            <w:vAlign w:val="center"/>
          </w:tcPr>
          <w:p>
            <w:pPr>
              <w:keepNext/>
              <w:jc w:val="right"/>
            </w:pPr>
            <w:r>
              <w:t xml:space="preserve"> 0%</w:t>
            </w:r>
          </w:p>
        </w:tc>
      </w:tr>
      <w:tr>
        <w:trPr>
          <w:trHeight w:val="569" w:hRule="atLeast"/>
        </w:trPr>
        <w:tc>
          <w:tcPr>
            <w:tcW w:w="2895" w:type="pct"/>
            <w:vAlign w:val="center"/>
          </w:tcPr>
          <w:p>
            <w:r>
              <w:t xml:space="preserve">Javna ustanova Agencija za upravljanje Starogradskim poljem</w:t>
            </w:r>
          </w:p>
        </w:tc>
        <w:tc>
          <w:tcPr>
            <w:tcW w:w="1078" w:type="pct"/>
            <w:vAlign w:val="center"/>
          </w:tcPr>
          <w:p>
            <w:pPr>
              <w:keepNext/>
              <w:jc w:val="right"/>
            </w:pPr>
            <w:r>
              <w:t xml:space="preserve">202.552,44</w:t>
            </w:r>
          </w:p>
        </w:tc>
        <w:tc>
          <w:tcPr>
            <w:tcW w:w="1026" w:type="pct"/>
            <w:vAlign w:val="center"/>
          </w:tcPr>
          <w:p>
            <w:pPr>
              <w:keepNext/>
              <w:jc w:val="right"/>
            </w:pPr>
            <w:r>
              <w:t xml:space="preserve">4%</w:t>
            </w:r>
          </w:p>
        </w:tc>
      </w:tr>
      <w:tr>
        <w:trPr>
          <w:trHeight w:val="647" w:hRule="atLeast"/>
        </w:trPr>
        <w:tc>
          <w:tcPr>
            <w:tcW w:w="2895" w:type="pct"/>
            <w:vAlign w:val="center"/>
          </w:tcPr>
          <w:p>
            <w:r>
              <w:rPr>
                <w:b/>
              </w:rPr>
              <w:t xml:space="preserve">Ukupno</w:t>
            </w:r>
          </w:p>
        </w:tc>
        <w:tc>
          <w:tcPr>
            <w:tcW w:w="1078" w:type="pct"/>
            <w:vAlign w:val="center"/>
          </w:tcPr>
          <w:p>
            <w:pPr>
              <w:keepNext/>
              <w:jc w:val="right"/>
            </w:pPr>
            <w:r>
              <w:rPr>
                <w:b/>
              </w:rPr>
              <w:t xml:space="preserve"> 4.752.370,09</w:t>
            </w:r>
          </w:p>
        </w:tc>
        <w:tc>
          <w:tcPr>
            <w:tcW w:w="1026" w:type="pct"/>
            <w:vAlign w:val="center"/>
          </w:tcPr>
          <w:p>
            <w:pPr>
              <w:keepNext/>
              <w:jc w:val="right"/>
            </w:pPr>
            <w:r>
              <w:t xml:space="preserve"> </w:t>
            </w:r>
          </w:p>
        </w:tc>
      </w:tr>
    </w:tbl>
    <w:p>
      <w:r>
        <w:t xml:space="preserve"> </w:t>
      </w:r>
    </w:p>
    <w:p>
      <w:r>
        <w:t xml:space="preserve">Rashodi poslovanja (Šifra 3) u odnosu na prethodno izvještajno razdoblje bilježe rast od 144,8% i iznose 6.845.883,86 EUR. Struktura konsolidiranih rashoda poslovanja je:</w:t>
      </w:r>
    </w:p>
    <w:tbl>
      <w:tblPr>
        <w:tblStyle w:val="TableGrid"/>
        <w:tblW w:w="5000" w:type="pct"/>
      </w:tblPr>
      <w:tblGrid>
        <w:gridCol w:w="5543"/>
        <w:gridCol w:w="2004"/>
        <w:gridCol w:w="2077"/>
      </w:tblGrid>
      <w:tr>
        <w:trPr/>
        <w:tc>
          <w:tcPr>
            <w:tcW w:w="2879" w:type="pct"/>
            <w:vAlign w:val="center"/>
          </w:tcPr>
          <w:p>
            <w:r>
              <w:t xml:space="preserve"> </w:t>
            </w:r>
          </w:p>
        </w:tc>
        <w:tc>
          <w:tcPr>
            <w:tcW w:w="1040" w:type="pct"/>
            <w:vAlign w:val="center"/>
          </w:tcPr>
          <w:p>
            <w:pPr>
              <w:keepNext/>
              <w:jc w:val="center"/>
            </w:pPr>
            <w:r>
              <w:t xml:space="preserve">Rashodi poslovanja</w:t>
            </w:r>
          </w:p>
        </w:tc>
        <w:tc>
          <w:tcPr>
            <w:tcW w:w="1079" w:type="pct"/>
            <w:vAlign w:val="center"/>
          </w:tcPr>
          <w:p>
            <w:pPr>
              <w:keepNext/>
              <w:jc w:val="center"/>
            </w:pPr>
            <w:r>
              <w:t xml:space="preserve">Udio u rashodima poslovanja</w:t>
            </w:r>
          </w:p>
        </w:tc>
      </w:tr>
      <w:tr>
        <w:trPr/>
        <w:tc>
          <w:tcPr>
            <w:tcW w:w="2879" w:type="pct"/>
            <w:vAlign w:val="center"/>
          </w:tcPr>
          <w:p>
            <w:r>
              <w:t xml:space="preserve"> Grad Stari Grad</w:t>
            </w:r>
          </w:p>
        </w:tc>
        <w:tc>
          <w:tcPr>
            <w:tcW w:w="1040" w:type="pct"/>
            <w:vAlign w:val="center"/>
          </w:tcPr>
          <w:p>
            <w:pPr>
              <w:keepNext/>
              <w:jc w:val="right"/>
            </w:pPr>
            <w:r>
              <w:t xml:space="preserve">5.823.674,27</w:t>
            </w:r>
          </w:p>
        </w:tc>
        <w:tc>
          <w:tcPr>
            <w:tcW w:w="1079" w:type="pct"/>
            <w:vAlign w:val="center"/>
          </w:tcPr>
          <w:p>
            <w:pPr>
              <w:keepNext/>
              <w:jc w:val="right"/>
            </w:pPr>
            <w:r>
              <w:t xml:space="preserve">85%</w:t>
            </w:r>
          </w:p>
        </w:tc>
      </w:tr>
      <w:tr>
        <w:trPr/>
        <w:tc>
          <w:tcPr>
            <w:tcW w:w="2879" w:type="pct"/>
            <w:vAlign w:val="center"/>
          </w:tcPr>
          <w:p>
            <w:r>
              <w:t xml:space="preserve">Dječji vrtić Sardelice</w:t>
            </w:r>
          </w:p>
        </w:tc>
        <w:tc>
          <w:tcPr>
            <w:tcW w:w="1040" w:type="pct"/>
            <w:vAlign w:val="center"/>
          </w:tcPr>
          <w:p>
            <w:pPr>
              <w:keepNext/>
              <w:jc w:val="right"/>
            </w:pPr>
            <w:r>
              <w:t xml:space="preserve">537.262,68</w:t>
            </w:r>
          </w:p>
        </w:tc>
        <w:tc>
          <w:tcPr>
            <w:tcW w:w="1079" w:type="pct"/>
            <w:vAlign w:val="center"/>
          </w:tcPr>
          <w:p>
            <w:pPr>
              <w:keepNext/>
              <w:jc w:val="right"/>
            </w:pPr>
            <w:r>
              <w:t xml:space="preserve">8%</w:t>
            </w:r>
          </w:p>
        </w:tc>
      </w:tr>
      <w:tr>
        <w:trPr/>
        <w:tc>
          <w:tcPr>
            <w:tcW w:w="2879" w:type="pct"/>
            <w:vAlign w:val="center"/>
          </w:tcPr>
          <w:p>
            <w:r>
              <w:t xml:space="preserve">Muzej Staroga Grada</w:t>
            </w:r>
          </w:p>
        </w:tc>
        <w:tc>
          <w:tcPr>
            <w:tcW w:w="1040" w:type="pct"/>
            <w:vAlign w:val="center"/>
          </w:tcPr>
          <w:p>
            <w:pPr>
              <w:keepNext/>
              <w:jc w:val="right"/>
            </w:pPr>
            <w:r>
              <w:t xml:space="preserve">174.618,63</w:t>
            </w:r>
          </w:p>
        </w:tc>
        <w:tc>
          <w:tcPr>
            <w:tcW w:w="1079" w:type="pct"/>
            <w:vAlign w:val="center"/>
          </w:tcPr>
          <w:p>
            <w:pPr>
              <w:keepNext/>
              <w:jc w:val="right"/>
            </w:pPr>
            <w:r>
              <w:t xml:space="preserve">3%</w:t>
            </w:r>
          </w:p>
        </w:tc>
      </w:tr>
      <w:tr>
        <w:trPr/>
        <w:tc>
          <w:tcPr>
            <w:tcW w:w="2879" w:type="pct"/>
            <w:vAlign w:val="center"/>
          </w:tcPr>
          <w:p>
            <w:r>
              <w:t xml:space="preserve">Gradska knjižnica i čitaonica Stari Grad</w:t>
            </w:r>
          </w:p>
        </w:tc>
        <w:tc>
          <w:tcPr>
            <w:tcW w:w="1040" w:type="pct"/>
            <w:vAlign w:val="center"/>
          </w:tcPr>
          <w:p>
            <w:pPr>
              <w:keepNext/>
              <w:jc w:val="right"/>
            </w:pPr>
            <w:r>
              <w:t xml:space="preserve">79.127,47</w:t>
            </w:r>
          </w:p>
        </w:tc>
        <w:tc>
          <w:tcPr>
            <w:tcW w:w="1079" w:type="pct"/>
            <w:vAlign w:val="center"/>
          </w:tcPr>
          <w:p>
            <w:pPr>
              <w:keepNext/>
              <w:jc w:val="right"/>
            </w:pPr>
            <w:r>
              <w:t xml:space="preserve">1%</w:t>
            </w:r>
          </w:p>
        </w:tc>
      </w:tr>
      <w:tr>
        <w:trPr/>
        <w:tc>
          <w:tcPr>
            <w:tcW w:w="2879" w:type="pct"/>
            <w:vAlign w:val="center"/>
          </w:tcPr>
          <w:p>
            <w:r>
              <w:t xml:space="preserve">Javna ustanova Agencija za upravljanje Starogradskim poljem</w:t>
            </w:r>
          </w:p>
        </w:tc>
        <w:tc>
          <w:tcPr>
            <w:tcW w:w="1040" w:type="pct"/>
            <w:vAlign w:val="center"/>
          </w:tcPr>
          <w:p>
            <w:pPr>
              <w:keepNext/>
              <w:jc w:val="right"/>
            </w:pPr>
            <w:r>
              <w:t xml:space="preserve">231.200,81</w:t>
            </w:r>
          </w:p>
        </w:tc>
        <w:tc>
          <w:tcPr>
            <w:tcW w:w="1079" w:type="pct"/>
            <w:vAlign w:val="center"/>
          </w:tcPr>
          <w:p>
            <w:pPr>
              <w:keepNext/>
              <w:jc w:val="right"/>
            </w:pPr>
            <w:r>
              <w:t xml:space="preserve">3%</w:t>
            </w:r>
          </w:p>
        </w:tc>
      </w:tr>
      <w:tr>
        <w:trPr/>
        <w:tc>
          <w:tcPr>
            <w:tcW w:w="2879" w:type="pct"/>
            <w:vAlign w:val="center"/>
          </w:tcPr>
          <w:p>
            <w:r>
              <w:rPr>
                <w:b/>
              </w:rPr>
              <w:t xml:space="preserve">Ukupno</w:t>
            </w:r>
          </w:p>
        </w:tc>
        <w:tc>
          <w:tcPr>
            <w:tcW w:w="1040" w:type="pct"/>
            <w:vAlign w:val="center"/>
          </w:tcPr>
          <w:p>
            <w:pPr>
              <w:keepNext/>
              <w:jc w:val="right"/>
            </w:pPr>
            <w:r>
              <w:rPr>
                <w:b/>
              </w:rPr>
              <w:t xml:space="preserve"> 6.845.883,86</w:t>
            </w:r>
          </w:p>
        </w:tc>
        <w:tc>
          <w:tcPr>
            <w:tcW w:w="1079" w:type="pct"/>
            <w:vAlign w:val="center"/>
          </w:tcPr>
          <w:p>
            <w:pPr>
              <w:keepNext/>
              <w:jc w:val="right"/>
            </w:pPr>
            <w:r>
              <w:t xml:space="preserve"> </w:t>
            </w:r>
          </w:p>
        </w:tc>
      </w:tr>
    </w:tbl>
    <w:p>
      <w:r>
        <w:t xml:space="preserve"> </w:t>
      </w:r>
    </w:p>
    <w:p>
      <w:r>
        <w:t xml:space="preserve">Prihodi od prodaje nefinancijske imovine (Šifra 7) nisu planirani u 2025. godini.</w:t>
      </w:r>
    </w:p>
    <w:p>
      <w:r>
        <w:t xml:space="preserve">Rashodi za nabavu nefinancijske imovine (Šifra 4) u odnosu na prethodno izvještajno razdoblje bilježe rast od 51,2% i iznose 1.495.098,97 EUR. Struktura konsolidiranih rashoda za nabavu nefinancijske imovine je:</w:t>
      </w:r>
    </w:p>
    <w:tbl>
      <w:tblPr>
        <w:tblStyle w:val="TableGrid"/>
        <w:tblW w:w="5000" w:type="pct"/>
      </w:tblPr>
      <w:tblGrid>
        <w:gridCol w:w="4594"/>
        <w:gridCol w:w="2697"/>
        <w:gridCol w:w="2332"/>
      </w:tblGrid>
      <w:tr>
        <w:trPr>
          <w:trHeight w:val="878" w:hRule="atLeast"/>
        </w:trPr>
        <w:tc>
          <w:tcPr>
            <w:tcW w:w="2387" w:type="pct"/>
            <w:vAlign w:val="center"/>
          </w:tcPr>
          <w:p>
            <w:pPr>
              <w:keepNext/>
              <w:jc w:val="center"/>
            </w:pPr>
            <w:r>
              <w:t xml:space="preserve"> </w:t>
            </w:r>
          </w:p>
        </w:tc>
        <w:tc>
          <w:tcPr>
            <w:tcW w:w="1401" w:type="pct"/>
            <w:vAlign w:val="center"/>
          </w:tcPr>
          <w:p>
            <w:pPr>
              <w:keepNext/>
              <w:jc w:val="center"/>
            </w:pPr>
            <w:r>
              <w:t xml:space="preserve">Rashodi za nabavu nefinancijske imovine</w:t>
            </w:r>
          </w:p>
        </w:tc>
        <w:tc>
          <w:tcPr>
            <w:tcW w:w="1211" w:type="pct"/>
            <w:vAlign w:val="center"/>
          </w:tcPr>
          <w:p>
            <w:pPr>
              <w:keepNext/>
              <w:jc w:val="center"/>
            </w:pPr>
            <w:r>
              <w:t xml:space="preserve">Udio u rashodima za nabavu nefinancijske imovine</w:t>
            </w:r>
          </w:p>
        </w:tc>
      </w:tr>
      <w:tr>
        <w:trPr>
          <w:trHeight w:val="197" w:hRule="atLeast"/>
        </w:trPr>
        <w:tc>
          <w:tcPr>
            <w:tcW w:w="2387" w:type="pct"/>
            <w:vAlign w:val="center"/>
          </w:tcPr>
          <w:p>
            <w:r>
              <w:t xml:space="preserve">Grad Stari Grad</w:t>
            </w:r>
          </w:p>
        </w:tc>
        <w:tc>
          <w:tcPr>
            <w:tcW w:w="1401" w:type="pct"/>
            <w:vAlign w:val="center"/>
          </w:tcPr>
          <w:p>
            <w:pPr>
              <w:keepNext/>
              <w:jc w:val="right"/>
            </w:pPr>
            <w:r>
              <w:t xml:space="preserve">1.428.029,75</w:t>
            </w:r>
          </w:p>
        </w:tc>
        <w:tc>
          <w:tcPr>
            <w:tcW w:w="1211" w:type="pct"/>
            <w:vAlign w:val="center"/>
          </w:tcPr>
          <w:p>
            <w:pPr>
              <w:keepNext/>
              <w:jc w:val="right"/>
            </w:pPr>
            <w:r>
              <w:t xml:space="preserve">98%</w:t>
            </w:r>
          </w:p>
        </w:tc>
      </w:tr>
      <w:tr>
        <w:trPr>
          <w:trHeight w:val="542" w:hRule="atLeast"/>
        </w:trPr>
        <w:tc>
          <w:tcPr>
            <w:tcW w:w="2387" w:type="pct"/>
            <w:vAlign w:val="center"/>
          </w:tcPr>
          <w:p>
            <w:r>
              <w:t xml:space="preserve">Dječji vrtić Sardelice</w:t>
            </w:r>
          </w:p>
        </w:tc>
        <w:tc>
          <w:tcPr>
            <w:tcW w:w="1401" w:type="pct"/>
            <w:vAlign w:val="center"/>
          </w:tcPr>
          <w:p>
            <w:pPr>
              <w:keepNext/>
              <w:jc w:val="right"/>
            </w:pPr>
            <w:r>
              <w:t xml:space="preserve">1.800,00</w:t>
            </w:r>
          </w:p>
        </w:tc>
        <w:tc>
          <w:tcPr>
            <w:tcW w:w="1211" w:type="pct"/>
            <w:vAlign w:val="center"/>
          </w:tcPr>
          <w:p>
            <w:pPr>
              <w:keepNext/>
              <w:jc w:val="right"/>
            </w:pPr>
            <w:r>
              <w:t xml:space="preserve">0%</w:t>
            </w:r>
          </w:p>
        </w:tc>
      </w:tr>
      <w:tr>
        <w:trPr>
          <w:trHeight w:val="542" w:hRule="atLeast"/>
        </w:trPr>
        <w:tc>
          <w:tcPr>
            <w:tcW w:w="2387" w:type="pct"/>
            <w:vAlign w:val="center"/>
          </w:tcPr>
          <w:p>
            <w:r>
              <w:t xml:space="preserve">Muzej Staroga Grada</w:t>
            </w:r>
          </w:p>
        </w:tc>
        <w:tc>
          <w:tcPr>
            <w:tcW w:w="1401" w:type="pct"/>
            <w:vAlign w:val="center"/>
          </w:tcPr>
          <w:p>
            <w:pPr>
              <w:keepNext/>
              <w:jc w:val="right"/>
            </w:pPr>
            <w:r>
              <w:t xml:space="preserve">13.369,78</w:t>
            </w:r>
          </w:p>
        </w:tc>
        <w:tc>
          <w:tcPr>
            <w:tcW w:w="1211" w:type="pct"/>
            <w:vAlign w:val="center"/>
          </w:tcPr>
          <w:p>
            <w:pPr>
              <w:keepNext/>
              <w:jc w:val="right"/>
            </w:pPr>
            <w:r>
              <w:t xml:space="preserve">1%</w:t>
            </w:r>
          </w:p>
        </w:tc>
      </w:tr>
      <w:tr>
        <w:trPr>
          <w:trHeight w:val="542" w:hRule="atLeast"/>
        </w:trPr>
        <w:tc>
          <w:tcPr>
            <w:tcW w:w="2387" w:type="pct"/>
            <w:vAlign w:val="center"/>
          </w:tcPr>
          <w:p>
            <w:r>
              <w:t xml:space="preserve">Gradska knjižnica i čitaonica Stari Grad</w:t>
            </w:r>
          </w:p>
        </w:tc>
        <w:tc>
          <w:tcPr>
            <w:tcW w:w="1401" w:type="pct"/>
            <w:vAlign w:val="center"/>
          </w:tcPr>
          <w:p>
            <w:pPr>
              <w:keepNext/>
              <w:jc w:val="right"/>
            </w:pPr>
            <w:r>
              <w:t xml:space="preserve">14.974,46</w:t>
            </w:r>
          </w:p>
        </w:tc>
        <w:tc>
          <w:tcPr>
            <w:tcW w:w="1211" w:type="pct"/>
            <w:vAlign w:val="center"/>
          </w:tcPr>
          <w:p>
            <w:pPr>
              <w:keepNext/>
              <w:jc w:val="right"/>
            </w:pPr>
            <w:r>
              <w:t xml:space="preserve">1%</w:t>
            </w:r>
          </w:p>
        </w:tc>
      </w:tr>
      <w:tr>
        <w:trPr>
          <w:trHeight w:val="542" w:hRule="atLeast"/>
        </w:trPr>
        <w:tc>
          <w:tcPr>
            <w:tcW w:w="2387" w:type="pct"/>
            <w:vAlign w:val="center"/>
          </w:tcPr>
          <w:p>
            <w:r>
              <w:t xml:space="preserve">Javna ustanova Agencija za upravljanje Starogradskim poljem</w:t>
            </w:r>
          </w:p>
        </w:tc>
        <w:tc>
          <w:tcPr>
            <w:tcW w:w="1401" w:type="pct"/>
            <w:vAlign w:val="center"/>
          </w:tcPr>
          <w:p>
            <w:pPr>
              <w:keepNext/>
              <w:jc w:val="right"/>
            </w:pPr>
            <w:r>
              <w:t xml:space="preserve">36.924,98</w:t>
            </w:r>
          </w:p>
        </w:tc>
        <w:tc>
          <w:tcPr>
            <w:tcW w:w="1211" w:type="pct"/>
            <w:vAlign w:val="center"/>
          </w:tcPr>
          <w:p>
            <w:pPr>
              <w:keepNext/>
              <w:jc w:val="right"/>
            </w:pPr>
            <w:r>
              <w:t xml:space="preserve">2%</w:t>
            </w:r>
          </w:p>
        </w:tc>
      </w:tr>
      <w:tr>
        <w:trPr>
          <w:trHeight w:val="542" w:hRule="atLeast"/>
        </w:trPr>
        <w:tc>
          <w:tcPr>
            <w:tcW w:w="2387" w:type="pct"/>
            <w:vAlign w:val="center"/>
          </w:tcPr>
          <w:p>
            <w:r>
              <w:rPr>
                <w:b/>
              </w:rPr>
              <w:t xml:space="preserve">Ukupno</w:t>
            </w:r>
          </w:p>
        </w:tc>
        <w:tc>
          <w:tcPr>
            <w:tcW w:w="1401" w:type="pct"/>
            <w:vAlign w:val="center"/>
          </w:tcPr>
          <w:p>
            <w:pPr>
              <w:keepNext/>
              <w:jc w:val="right"/>
            </w:pPr>
            <w:r>
              <w:rPr>
                <w:b/>
              </w:rPr>
              <w:t xml:space="preserve">1.495.098,97</w:t>
            </w:r>
          </w:p>
        </w:tc>
        <w:tc>
          <w:tcPr>
            <w:tcW w:w="1211" w:type="pct"/>
            <w:vAlign w:val="center"/>
          </w:tcPr>
          <w:p>
            <w:pPr>
              <w:keepNext/>
              <w:jc w:val="right"/>
            </w:pPr>
            <w:r>
              <w:t xml:space="preserve"> </w:t>
            </w:r>
          </w:p>
        </w:tc>
      </w:tr>
    </w:tbl>
    <w:p>
      <w:r>
        <w:t xml:space="preserve"> </w:t>
      </w:r>
    </w:p>
    <w:p>
      <w:r>
        <w:t xml:space="preserve">Primici od financijske imovine i zaduživanja (Šifra 8) su realizirani u iznosu 3.613.518,02 eura i odnose se na primitak Grada Staroga Grada. Radi se o beskamatnom zajmu državnog proračuna za isplatu naknada za deposedirana zemljišta.</w:t>
      </w:r>
    </w:p>
    <w:p>
      <w:r>
        <w:t xml:space="preserve">Izdaci za financijsku imovinu i otplate zajmova (Šifra 5)  su realizirani u iznosu od 66.500,00 eura i odnose se na izdatak Grada Staroga Grada. Radi se o povratu glavnice beskamatnog zajma državnog proračuna iz 2020. godine.</w:t>
      </w:r>
    </w:p>
    <w:p>
      <w:r>
        <w:t xml:space="preserve"> </w:t>
      </w:r>
    </w:p>
    <w:p>
      <w:r>
        <w:t xml:space="preserve">U 2025. godini ostvaren je ukupni manjak prihoda i primitaka od 41.594,72 eura. Struktura rezultata je: </w:t>
      </w:r>
    </w:p>
    <w:p>
      <w:r>
        <w:t xml:space="preserve"> </w:t>
      </w:r>
    </w:p>
    <w:tbl>
      <w:tblPr>
        <w:tblStyle w:val="TableGrid"/>
        <w:tblW w:w="5000" w:type="pct"/>
      </w:tblPr>
      <w:tblGrid>
        <w:gridCol w:w="5550"/>
        <w:gridCol w:w="4073"/>
      </w:tblGrid>
      <w:tr>
        <w:trPr/>
        <w:tc>
          <w:tcPr>
            <w:tcW w:w="2883" w:type="pct"/>
            <w:vAlign w:val="center"/>
          </w:tcPr>
          <w:p>
            <w:r>
              <w:t xml:space="preserve"> </w:t>
            </w:r>
          </w:p>
        </w:tc>
        <w:tc>
          <w:tcPr>
            <w:tcW w:w="2116" w:type="pct"/>
            <w:vAlign w:val="center"/>
          </w:tcPr>
          <w:p>
            <w:pPr>
              <w:keepNext/>
              <w:jc w:val="center"/>
            </w:pPr>
            <w:r>
              <w:t xml:space="preserve">Višak/manjak 2025</w:t>
            </w:r>
          </w:p>
        </w:tc>
      </w:tr>
      <w:tr>
        <w:trPr/>
        <w:tc>
          <w:tcPr>
            <w:tcW w:w="2883" w:type="pct"/>
            <w:vAlign w:val="center"/>
          </w:tcPr>
          <w:p>
            <w:r>
              <w:t xml:space="preserve">Grad Stari Grad</w:t>
            </w:r>
          </w:p>
        </w:tc>
        <w:tc>
          <w:tcPr>
            <w:tcW w:w="2116" w:type="pct"/>
            <w:vAlign w:val="center"/>
          </w:tcPr>
          <w:p>
            <w:pPr>
              <w:keepNext/>
              <w:jc w:val="right"/>
            </w:pPr>
            <w:r>
              <w:t xml:space="preserve">26.248,92</w:t>
            </w:r>
          </w:p>
        </w:tc>
      </w:tr>
      <w:tr>
        <w:trPr/>
        <w:tc>
          <w:tcPr>
            <w:tcW w:w="2883" w:type="pct"/>
            <w:vAlign w:val="center"/>
          </w:tcPr>
          <w:p>
            <w:r>
              <w:t xml:space="preserve">Dječji vrtić Sardelice</w:t>
            </w:r>
          </w:p>
        </w:tc>
        <w:tc>
          <w:tcPr>
            <w:tcW w:w="2116" w:type="pct"/>
            <w:vAlign w:val="center"/>
          </w:tcPr>
          <w:p>
            <w:pPr>
              <w:keepNext/>
              <w:jc w:val="right"/>
            </w:pPr>
            <w:r>
              <w:t xml:space="preserve">-45.280,64</w:t>
            </w:r>
          </w:p>
        </w:tc>
      </w:tr>
      <w:tr>
        <w:trPr/>
        <w:tc>
          <w:tcPr>
            <w:tcW w:w="2883" w:type="pct"/>
            <w:vAlign w:val="center"/>
          </w:tcPr>
          <w:p>
            <w:r>
              <w:t xml:space="preserve">Muzej Staroga Grada</w:t>
            </w:r>
          </w:p>
        </w:tc>
        <w:tc>
          <w:tcPr>
            <w:tcW w:w="2116" w:type="pct"/>
            <w:vAlign w:val="center"/>
          </w:tcPr>
          <w:p>
            <w:pPr>
              <w:keepNext/>
              <w:jc w:val="right"/>
            </w:pPr>
            <w:r>
              <w:t xml:space="preserve">-20.822,45</w:t>
            </w:r>
          </w:p>
        </w:tc>
      </w:tr>
      <w:tr>
        <w:trPr/>
        <w:tc>
          <w:tcPr>
            <w:tcW w:w="2883" w:type="pct"/>
            <w:vAlign w:val="center"/>
          </w:tcPr>
          <w:p>
            <w:r>
              <w:t xml:space="preserve">Gradska knjižnica i čitaonica Stari Grad</w:t>
            </w:r>
          </w:p>
        </w:tc>
        <w:tc>
          <w:tcPr>
            <w:tcW w:w="2116" w:type="pct"/>
            <w:vAlign w:val="center"/>
          </w:tcPr>
          <w:p>
            <w:pPr>
              <w:keepNext/>
              <w:jc w:val="right"/>
            </w:pPr>
            <w:r>
              <w:t xml:space="preserve">-9.242,93</w:t>
            </w:r>
          </w:p>
        </w:tc>
      </w:tr>
      <w:tr>
        <w:trPr/>
        <w:tc>
          <w:tcPr>
            <w:tcW w:w="2883" w:type="pct"/>
            <w:vAlign w:val="center"/>
          </w:tcPr>
          <w:p>
            <w:r>
              <w:t xml:space="preserve">Javna ustanova Agencija za upravljanje Starogradskim poljem</w:t>
            </w:r>
          </w:p>
        </w:tc>
        <w:tc>
          <w:tcPr>
            <w:tcW w:w="2116" w:type="pct"/>
            <w:vAlign w:val="center"/>
          </w:tcPr>
          <w:p>
            <w:pPr>
              <w:keepNext/>
              <w:jc w:val="right"/>
            </w:pPr>
            <w:r>
              <w:t xml:space="preserve">7.502,38</w:t>
            </w:r>
          </w:p>
        </w:tc>
      </w:tr>
      <w:tr>
        <w:trPr/>
        <w:tc>
          <w:tcPr>
            <w:tcW w:w="2883" w:type="pct"/>
            <w:vAlign w:val="center"/>
          </w:tcPr>
          <w:p>
            <w:r>
              <w:rPr>
                <w:b/>
              </w:rPr>
              <w:t xml:space="preserve">Ukupno</w:t>
            </w:r>
          </w:p>
        </w:tc>
        <w:tc>
          <w:tcPr>
            <w:tcW w:w="2116" w:type="pct"/>
            <w:vAlign w:val="center"/>
          </w:tcPr>
          <w:p>
            <w:pPr>
              <w:keepNext/>
              <w:jc w:val="right"/>
            </w:pPr>
            <w:r>
              <w:rPr>
                <w:b/>
              </w:rPr>
              <w:t xml:space="preserve">-41.594,72</w:t>
            </w:r>
          </w:p>
        </w:tc>
      </w:tr>
    </w:tbl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24.943,01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Dospjele obveze (Šifra V007) u ukupnom iznosu 24.943,01 EUR se odnose na obveze Grada Staroga Grada:</w:t>
      </w:r>
    </w:p>
    <w:p>
      <w:r>
        <w:t xml:space="preserve">- Obveze za materijalne rashode u iznosu 13.978,21 EUR sa prekoračenjem preko 360 dana, te 500,00 EUR s prekoračenjem od 181 do 360 dana (usluge prijevoza). </w:t>
      </w:r>
    </w:p>
    <w:p>
      <w:r>
        <w:t xml:space="preserve">- Obveze za kazne, naknade šteta i kapitalne pomoći u iznosu 5.344,88 sa kašnjenjem preko 360 dana (kapitalna pomoć Hvarskom vodovodu d.o.o.).</w:t>
      </w:r>
    </w:p>
    <w:p>
      <w:r>
        <w:t xml:space="preserve">- Obveze za nabavu nefinancijske imovine u iznosu od 5.119,92 EUR, od čega 4.559,03 EUR sa prekoračenjem preko 360 dana za radove, te 560,89 EUR s prekoračenjem od 61 do 180 dana za radove Hvarskom vodovodu d.o.o.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Unutargrupne transakcije koje su u izvještajima eliminirane</w:t>
      </w:r>
    </w:p>
    <w:p>
      <w:r>
        <w:t xml:space="preserve">Unutargrupne transakcije koje su u izvještajima eliminirane su kod nadležnog proračuna na razini 22 prikazane na kontu 367, a kod proračunskih korisnika na razini 21 na kontu 671. Ukupan iznos takvih transakcija od 682.608,77 eura je raspoređen na proračunske korisnike za plaće i materijalne rashode: </w:t>
      </w:r>
    </w:p>
    <w:tbl>
      <w:tblPr>
        <w:tblStyle w:val="TableGrid"/>
        <w:tblW w:w="5000" w:type="pct"/>
      </w:tblPr>
      <w:tblGrid>
        <w:gridCol w:w="4811"/>
        <w:gridCol w:w="4811"/>
      </w:tblGrid>
      <w:tr>
        <w:trPr>
          <w:trHeight w:val="542" w:hRule="atLeast"/>
        </w:trPr>
        <w:tc>
          <w:tcPr>
            <w:tcW w:w="2500" w:type="pct"/>
            <w:vAlign w:val="center"/>
          </w:tcPr>
          <w:p>
            <w:pPr>
              <w:keepNext/>
              <w:jc w:val="center"/>
            </w:pPr>
            <w:r>
              <w:t xml:space="preserve">Proračunski korisnik</w:t>
            </w:r>
          </w:p>
        </w:tc>
        <w:tc>
          <w:tcPr>
            <w:tcW w:w="2500" w:type="pct"/>
            <w:vAlign w:val="center"/>
          </w:tcPr>
          <w:p>
            <w:pPr>
              <w:keepNext/>
              <w:jc w:val="center"/>
            </w:pPr>
            <w:r>
              <w:t xml:space="preserve">Iznos</w:t>
            </w:r>
          </w:p>
        </w:tc>
      </w:tr>
      <w:tr>
        <w:trPr>
          <w:trHeight w:val="542" w:hRule="atLeast"/>
        </w:trPr>
        <w:tc>
          <w:tcPr>
            <w:tcW w:w="2500" w:type="pct"/>
            <w:vAlign w:val="center"/>
          </w:tcPr>
          <w:p>
            <w:r>
              <w:t xml:space="preserve">Dječji vrtić Sardelice</w:t>
            </w:r>
          </w:p>
        </w:tc>
        <w:tc>
          <w:tcPr>
            <w:tcW w:w="2500" w:type="pct"/>
            <w:vAlign w:val="center"/>
          </w:tcPr>
          <w:p>
            <w:pPr>
              <w:keepNext/>
              <w:jc w:val="right"/>
            </w:pPr>
            <w:r>
              <w:t xml:space="preserve">420.045,57</w:t>
            </w:r>
          </w:p>
        </w:tc>
      </w:tr>
      <w:tr>
        <w:trPr>
          <w:trHeight w:val="542" w:hRule="atLeast"/>
        </w:trPr>
        <w:tc>
          <w:tcPr>
            <w:tcW w:w="2500" w:type="pct"/>
            <w:vAlign w:val="center"/>
          </w:tcPr>
          <w:p>
            <w:r>
              <w:t xml:space="preserve">Muzej Staroga Grada</w:t>
            </w:r>
          </w:p>
        </w:tc>
        <w:tc>
          <w:tcPr>
            <w:tcW w:w="2500" w:type="pct"/>
            <w:vAlign w:val="center"/>
          </w:tcPr>
          <w:p>
            <w:pPr>
              <w:keepNext/>
              <w:jc w:val="right"/>
            </w:pPr>
            <w:r>
              <w:t xml:space="preserve">114.897,50</w:t>
            </w:r>
          </w:p>
        </w:tc>
      </w:tr>
      <w:tr>
        <w:trPr>
          <w:trHeight w:val="542" w:hRule="atLeast"/>
        </w:trPr>
        <w:tc>
          <w:tcPr>
            <w:tcW w:w="2500" w:type="pct"/>
            <w:vAlign w:val="center"/>
          </w:tcPr>
          <w:p>
            <w:r>
              <w:t xml:space="preserve">Gradska knjižnica i čitaonica Stari Grad</w:t>
            </w:r>
          </w:p>
        </w:tc>
        <w:tc>
          <w:tcPr>
            <w:tcW w:w="2500" w:type="pct"/>
            <w:vAlign w:val="center"/>
          </w:tcPr>
          <w:p>
            <w:pPr>
              <w:keepNext/>
              <w:jc w:val="right"/>
            </w:pPr>
            <w:r>
              <w:t xml:space="preserve">74.589,97</w:t>
            </w:r>
          </w:p>
        </w:tc>
      </w:tr>
      <w:tr>
        <w:trPr>
          <w:trHeight w:val="542" w:hRule="atLeast"/>
        </w:trPr>
        <w:tc>
          <w:tcPr>
            <w:tcW w:w="2500" w:type="pct"/>
            <w:vAlign w:val="center"/>
          </w:tcPr>
          <w:p>
            <w:r>
              <w:t xml:space="preserve">Javna ustanova Agencija za upravljanje Starogradskim poljem</w:t>
            </w:r>
          </w:p>
        </w:tc>
        <w:tc>
          <w:tcPr>
            <w:tcW w:w="2500" w:type="pct"/>
            <w:vAlign w:val="center"/>
          </w:tcPr>
          <w:p>
            <w:pPr>
              <w:keepNext/>
              <w:jc w:val="right"/>
            </w:pPr>
            <w:r>
              <w:t xml:space="preserve">73.075,73</w:t>
            </w:r>
          </w:p>
        </w:tc>
      </w:tr>
      <w:tr>
        <w:trPr>
          <w:trHeight w:val="542" w:hRule="atLeast"/>
        </w:trPr>
        <w:tc>
          <w:tcPr>
            <w:tcW w:w="2500" w:type="pct"/>
            <w:vAlign w:val="center"/>
          </w:tcPr>
          <w:p>
            <w:r>
              <w:rPr>
                <w:b/>
              </w:rPr>
              <w:t xml:space="preserve">Ukupno</w:t>
            </w:r>
          </w:p>
        </w:tc>
        <w:tc>
          <w:tcPr>
            <w:tcW w:w="2500" w:type="pct"/>
            <w:vAlign w:val="center"/>
          </w:tcPr>
          <w:p>
            <w:pPr>
              <w:keepNext/>
              <w:jc w:val="right"/>
            </w:pPr>
            <w:r>
              <w:rPr>
                <w:b/>
              </w:rPr>
              <w:t xml:space="preserve"> 682.608,77</w:t>
            </w:r>
          </w:p>
        </w:tc>
      </w:tr>
    </w:tbl>
    <w:p>
      <w:r>
        <w:t xml:space="preserve">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Manjak ili višak u poslovanju grupe i pregled strukture manjka/viška po proračunskim korisnicima </w:t>
      </w:r>
    </w:p>
    <w:p>
      <w:r>
        <w:t xml:space="preserve">Preneseni višak prihoda i primitaka (Šifra 9221-9222) iznosi 765.989,63 EUR. Ukupni višak prihoda i primitaka raspoloživ u sljedećim razdobljima (Šifra X006) iznosi 724.394,91 EUR. Struktura rezultata je:</w:t>
      </w:r>
    </w:p>
    <w:tbl>
      <w:tblPr>
        <w:tblStyle w:val="TableGrid"/>
        <w:tblW w:w="5000" w:type="pct"/>
      </w:tblPr>
      <w:tblGrid>
        <w:gridCol w:w="5486"/>
        <w:gridCol w:w="4137"/>
      </w:tblGrid>
      <w:tr>
        <w:trPr/>
        <w:tc>
          <w:tcPr>
            <w:tcW w:w="2850" w:type="pct"/>
            <w:vAlign w:val="center"/>
          </w:tcPr>
          <w:p>
            <w:r>
              <w:t xml:space="preserve"> </w:t>
            </w:r>
          </w:p>
        </w:tc>
        <w:tc>
          <w:tcPr>
            <w:tcW w:w="2149" w:type="pct"/>
            <w:vAlign w:val="center"/>
          </w:tcPr>
          <w:p>
            <w:pPr>
              <w:keepNext/>
              <w:jc w:val="center"/>
            </w:pPr>
            <w:r>
              <w:t xml:space="preserve">Raspoloživo u sljedećem razdoblju</w:t>
            </w:r>
          </w:p>
        </w:tc>
      </w:tr>
      <w:tr>
        <w:trPr/>
        <w:tc>
          <w:tcPr>
            <w:tcW w:w="2850" w:type="pct"/>
            <w:vAlign w:val="center"/>
          </w:tcPr>
          <w:p>
            <w:r>
              <w:t xml:space="preserve">Grad Stari Grad</w:t>
            </w:r>
          </w:p>
        </w:tc>
        <w:tc>
          <w:tcPr>
            <w:tcW w:w="2149" w:type="pct"/>
            <w:vAlign w:val="center"/>
          </w:tcPr>
          <w:p>
            <w:pPr>
              <w:keepNext/>
              <w:jc w:val="right"/>
            </w:pPr>
            <w:r>
              <w:t xml:space="preserve">705.079,14</w:t>
            </w:r>
          </w:p>
        </w:tc>
      </w:tr>
      <w:tr>
        <w:trPr/>
        <w:tc>
          <w:tcPr>
            <w:tcW w:w="2850" w:type="pct"/>
            <w:vAlign w:val="center"/>
          </w:tcPr>
          <w:p>
            <w:r>
              <w:t xml:space="preserve">Dječji vrtić Sardelice</w:t>
            </w:r>
          </w:p>
        </w:tc>
        <w:tc>
          <w:tcPr>
            <w:tcW w:w="2149" w:type="pct"/>
            <w:vAlign w:val="center"/>
          </w:tcPr>
          <w:p>
            <w:pPr>
              <w:keepNext/>
              <w:jc w:val="right"/>
            </w:pPr>
            <w:r>
              <w:t xml:space="preserve">-12.646,04</w:t>
            </w:r>
          </w:p>
        </w:tc>
      </w:tr>
      <w:tr>
        <w:trPr/>
        <w:tc>
          <w:tcPr>
            <w:tcW w:w="2850" w:type="pct"/>
            <w:vAlign w:val="center"/>
          </w:tcPr>
          <w:p>
            <w:r>
              <w:t xml:space="preserve">Muzej Staroga Grada</w:t>
            </w:r>
          </w:p>
        </w:tc>
        <w:tc>
          <w:tcPr>
            <w:tcW w:w="2149" w:type="pct"/>
            <w:vAlign w:val="center"/>
          </w:tcPr>
          <w:p>
            <w:pPr>
              <w:keepNext/>
              <w:jc w:val="right"/>
            </w:pPr>
            <w:r>
              <w:t xml:space="preserve">36.563,41</w:t>
            </w:r>
          </w:p>
        </w:tc>
      </w:tr>
      <w:tr>
        <w:trPr/>
        <w:tc>
          <w:tcPr>
            <w:tcW w:w="2850" w:type="pct"/>
            <w:vAlign w:val="center"/>
          </w:tcPr>
          <w:p>
            <w:r>
              <w:t xml:space="preserve">Gradska knjižnica i čitaonica Stari Grad</w:t>
            </w:r>
          </w:p>
        </w:tc>
        <w:tc>
          <w:tcPr>
            <w:tcW w:w="2149" w:type="pct"/>
            <w:vAlign w:val="center"/>
          </w:tcPr>
          <w:p>
            <w:pPr>
              <w:keepNext/>
              <w:jc w:val="right"/>
            </w:pPr>
            <w:r>
              <w:t xml:space="preserve">-13.391,86</w:t>
            </w:r>
          </w:p>
        </w:tc>
      </w:tr>
      <w:tr>
        <w:trPr/>
        <w:tc>
          <w:tcPr>
            <w:tcW w:w="2850" w:type="pct"/>
            <w:vAlign w:val="center"/>
          </w:tcPr>
          <w:p>
            <w:r>
              <w:t xml:space="preserve">Javna ustanova Agencija za upravljanje Starogradskim poljem</w:t>
            </w:r>
          </w:p>
        </w:tc>
        <w:tc>
          <w:tcPr>
            <w:tcW w:w="2149" w:type="pct"/>
            <w:vAlign w:val="center"/>
          </w:tcPr>
          <w:p>
            <w:pPr>
              <w:keepNext/>
              <w:jc w:val="right"/>
            </w:pPr>
            <w:r>
              <w:t xml:space="preserve">8.790,26</w:t>
            </w:r>
          </w:p>
        </w:tc>
      </w:tr>
      <w:tr>
        <w:trPr/>
        <w:tc>
          <w:tcPr>
            <w:tcW w:w="2850" w:type="pct"/>
            <w:vAlign w:val="center"/>
          </w:tcPr>
          <w:p>
            <w:r>
              <w:rPr>
                <w:b/>
              </w:rPr>
              <w:t xml:space="preserve">Ukupno</w:t>
            </w:r>
          </w:p>
        </w:tc>
        <w:tc>
          <w:tcPr>
            <w:tcW w:w="2149" w:type="pct"/>
            <w:vAlign w:val="center"/>
          </w:tcPr>
          <w:p>
            <w:pPr>
              <w:keepNext/>
              <w:jc w:val="right"/>
            </w:pPr>
            <w:r>
              <w:rPr>
                <w:b/>
              </w:rPr>
              <w:t xml:space="preserve">724.394,91</w:t>
            </w:r>
          </w:p>
        </w:tc>
      </w:tr>
    </w:tbl>
    <w:p>
      <w:r>
        <w:t xml:space="preserve">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19dde0ee38d42e3" /></Relationships>
</file>