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1713946871c14c4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29582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STARI GRAD</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3.432.749,06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4.413.543,69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2.529.521,29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6.506.283,04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2.092.739,35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872.960,81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1.428.029,75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867.600,81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1.428.029,75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3.613.518,02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3.547.018,02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35.626,96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26.248,92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73,7</w:t>
            </w:r>
          </w:p>
        </w:tc>
      </w:tr>
    </w:tbl>
    <w:p>
      <w:pPr>
        <w:spacing w:before="0" w:after="0"/>
      </w:pPr>
    </w:p>
    <w:p>
      <w:r>
        <w:t xml:space="preserve">Prihodi poslovanja (Šifra 6) u odnosu na prethodnu godinu, bilježe rast od 28,69%  i iznose 4.413.543,69 EUR, a kretanja po podskupinama prikazana su kako slijedi:</w:t>
      </w:r>
    </w:p>
    <w:p>
      <w:r>
        <w:t xml:space="preserve">-          Prihodi od poreza na dohodak (Šifra 611) bilježe rast od 15,3%, zbog viših uplata u odnosu na isto razdoblje prethodne godine.</w:t>
      </w:r>
    </w:p>
    <w:p>
      <w:r>
        <w:t xml:space="preserve">-          Porezi na imovinu (Šifra 613) bilježe rast od 48,2%, zbog više ostvarenog poreza na promet nekretnina od 35,4% dok su prihodi od poreza na kuće za odmor i poreza na nekretnine (Šifra 6131) u ukupnom iznosu viši za 66,2% zbog povećanja cijene po m² uvođenjem poreza na nekretnine. </w:t>
      </w:r>
    </w:p>
    <w:p>
      <w:r>
        <w:t xml:space="preserve">-          Porezi na robu i usluge (Šifra 614) u odnosu na prethodno izvještajno razdoblje su viši za 9,0% zbog viših uplata poreza na potrošnju (Šifra 6142).</w:t>
      </w:r>
    </w:p>
    <w:p>
      <w:r>
        <w:t xml:space="preserve">-          Pomoći proračunu iz drugih proračuna (Šifra 63) u 2024. godini realizirani su u iznosu od 458.463,09 eura, što je za 5,6% više nego prethodne godine, predstavljaju fiskalnu održivost dječjih vrtića, opremu za dječji vrtić, sadni materijal, projekt Hora tour, projekt Oboj Jure, uređenje poljskih puteva, projekt snimanja podmorja, pomoći za zgrade Hrvatskog doma, gradske uprave, mauzolej don Šime Ljubića, gradnju Trga S. Radića, projekt uređenja okoliša osnovne škole i EU pomoći po odobrenom ZNS-u za projekt izgradnje Centra za upravljanje rizicima od požara i katastrofa. </w:t>
      </w:r>
    </w:p>
    <w:p>
      <w:r>
        <w:t xml:space="preserve">-          Prihodi od financijske imovine (Šifra 641) u odnosu na 2024. godinu bilježe pad od 61,3% zbog manje naplaćenih kamata u 2025. godini.</w:t>
      </w:r>
    </w:p>
    <w:p>
      <w:r>
        <w:t xml:space="preserve">-          Prihodi od nefinancijske imovine (Šifra 642) viši su za 12,9%. Pad bilježe prihodi od naknada za kkorištenje javnih površina, a rast bilježe prihodi od zakupa radi novih ugovora o zakupu. </w:t>
      </w:r>
    </w:p>
    <w:p>
      <w:r>
        <w:t xml:space="preserve">-          Prihodi od upravnih i administrativnih pristojbi (Šifra 651) se nisu značajnije mijenjali.</w:t>
      </w:r>
    </w:p>
    <w:p>
      <w:r>
        <w:t xml:space="preserve">-          Prihodi po posebnim propisima (Šifra 652) su ostvareni u iznosu od 416.606,73 eura i odnose se na ošasnu imovinu. </w:t>
      </w:r>
    </w:p>
    <w:p>
      <w:r>
        <w:t xml:space="preserve">-          Komunalni doprinosi i naknade (Šifra 653) u ukupnom iznosu bilježe rast od 33,3% zbog više ostvarenih prihoda od komunalnog doprinosa (Šifra 6531) za 79,1%. Prihod od komunalnih naknada je viši za 3,2% zbog bolje naplate.</w:t>
      </w:r>
    </w:p>
    <w:p>
      <w:r>
        <w:t xml:space="preserve">-          Kazne i upravne mjere (Šifra 681) bilježe pad od 50,9% radi otkaza prometnih redara.</w:t>
      </w:r>
    </w:p>
    <w:p>
      <w:r>
        <w:t xml:space="preserve">-          Ostali prihodi (Šifra 683) bilježe rast od 9,8% radi višeg broja izdanih dozvola za prometovanje.</w:t>
      </w:r>
    </w:p>
    <w:p>
      <w:r>
        <w:t xml:space="preserve">Rashodi poslovanja (Šifra 3) u odnosu na prethodno izvještajno razdoblje u ukupnom iznosu bilježe rast od 157,2% i iznose 6.506.283,04 EUR, a kretanja po podskupinama prikazana su kako slijedi:</w:t>
      </w:r>
    </w:p>
    <w:p>
      <w:r>
        <w:t xml:space="preserve">-          Rashodi za zaposlene  (Šifra 311) viši su za 21,1% zbog rasta plaća u Jedinstvenom upravnom odjelu.</w:t>
      </w:r>
    </w:p>
    <w:p>
      <w:r>
        <w:t xml:space="preserve">-          Ostali rashodi za zaposlene (Šifra 312) su viši za 41,1% i odnose se na nagrade za radne rezultate, regres, i naknadu za bolovanje duže od 42 dana.</w:t>
      </w:r>
    </w:p>
    <w:p>
      <w:r>
        <w:t xml:space="preserve">-          Doprinosi na plaće (Šifra 313) viši su za 20,5% zbog rasta plaća u Jedinstvenom upravnom odjelu.</w:t>
      </w:r>
    </w:p>
    <w:p>
      <w:r>
        <w:t xml:space="preserve">-          Naknade troškova zaposlenima (Šifra 321) viši su za 80,4 zbog viših rashoda za službena putovanja (Šifra 3211) od 88,1%. Stručno usavršavanje zaposlenika bilježi rast od 207,5% zbog viših troškova stručnog usavršavanja.</w:t>
      </w:r>
    </w:p>
    <w:p>
      <w:r>
        <w:t xml:space="preserve">-          Rashodi za materijal i energiju (Šifra 322) se nisu značajno mjenjali. Rashodi za energiju bilježe energiju od 14,8%. </w:t>
      </w:r>
    </w:p>
    <w:p>
      <w:r>
        <w:t xml:space="preserve">-          Rashodi za usluge (Šifra 323) bilježe rast od 11,8%. Usluge telefona, pošte i prijevoza (Šifra 3231) bilježe rast od 12,9%, usluge promidžbe i informiranja (Šifra 3233) bilježe pad od 53,8%, intelektualne i osobne usluge (Šifra 3237) bilježe pad od 6,3%. Ostale usluge (Šifra 3239) bilježe rast od 10,1%. Zakupnine i najamnine (Šifra 3235) bilježe od 1.244,6% radi rashoda vezanih za najam opreme za organizaciju Europskog prvenstva daljinskom plivanju i adventa. </w:t>
      </w:r>
    </w:p>
    <w:p>
      <w:r>
        <w:t xml:space="preserve">-          Ostali nespomenuti rashodi poslovanja (Šifra 329) u ukupnom iznosu bilježe rast od 25,5%. Promjene su zabilježene kod naknada za rad prestavničkih i izvršnih tijela i povjerenstava od 201,7% radi isplata vjećnicima i članovima radnih tijela Gradskog vijeća, reprezentacije (Šifra 3293) koja je viša za 129,9%, te premiaj osiguranja (Šifra 3299) koji su viši za 31,0% zbog potpisivanja novih ugovora.  </w:t>
      </w:r>
    </w:p>
    <w:p>
      <w:r>
        <w:t xml:space="preserve">-          Ostali financijski rashodi (Šifra 343), bilježe rast od 1.309,8%. Rashodi se odnose na naknadu Fondu za zaštitu okoliša i isplate za deposedirano zemljište. U studenom su potpisane nagodbe za deposedirana zemljišta koje su isplaćene u prosincu iz sredstava zajma državnog proračuna. </w:t>
      </w:r>
    </w:p>
    <w:p>
      <w:r>
        <w:t xml:space="preserve">-          Subvencije poljoprivrednicima (Šifra 352) se odnose na subvencije za sadni materijal, a isplaćuju se temeljem javnog natječaja. </w:t>
      </w:r>
    </w:p>
    <w:p>
      <w:r>
        <w:t xml:space="preserve">-          Pomoći proračunskim korisnicima drugih proračuna (Šifra 366) bilježe pad od 38,6% zbog manjeg broja pristiglih zahtjeva osnovnih i srednje škole. </w:t>
      </w:r>
    </w:p>
    <w:p>
      <w:r>
        <w:t xml:space="preserve">-          Prijenosi proračunskim korisnicima iz nadležnog proračuna (Šifra 367) su viši za 34,0% zbog viših iznosa transferiranih za materijalne rashode i plaće.</w:t>
      </w:r>
    </w:p>
    <w:p>
      <w:r>
        <w:t xml:space="preserve">-          Ostale naknade građanima i kućanstvima (Šifra 372) se su više za 16,2%. Odnose se na isplaćene stipendije, naknade za novorođenčad, jednokratne novčane pomoći i božićnice umirovljenicima.</w:t>
      </w:r>
    </w:p>
    <w:p>
      <w:r>
        <w:t xml:space="preserve">-          Tekuće donacije (Šifra 381) bilježe rast od 20,7% zbog višeg ugovorenog iznosa za tekuće donacije udrugama, Domu za starije i nemoćne, Turističkoj zajednici za organizaciju manifestacija, zakonska izdvajanja za Crveni križ, DVD i za političke stranke. </w:t>
      </w:r>
    </w:p>
    <w:p>
      <w:r>
        <w:t xml:space="preserve">-          Kapitalne donacije (Šifra 382) bilježe pad od 32,3% zbog nižeg ugovorenog iznosa za kapitalne donacije udruzi Perle, DVD-u i HGSS-u. </w:t>
      </w:r>
    </w:p>
    <w:p>
      <w:r>
        <w:t xml:space="preserve">-          Kapitalne pomoći (Šifra 386) su niže su za 84,8% a odnose se na kapitalnu pomoć Komunalnom Stari Grad d.o.o. za opreme. </w:t>
      </w:r>
    </w:p>
    <w:p>
      <w:r>
        <w:t xml:space="preserve">Manjak prihoda iznosi 2.092.739,35 EUR.</w:t>
      </w:r>
    </w:p>
    <w:p>
      <w:r>
        <w:t xml:space="preserve">Prihodi od prodaje nefinancijske imovine (Šifra 7) nisu realizirani u 2025. godini.</w:t>
      </w:r>
    </w:p>
    <w:p>
      <w:r>
        <w:t xml:space="preserve">Rashodi za nabavu nefinancijske imovine (Šifra 4) u ukupnom iznosu u odnosu na prethodno izvještajno razdoblje bilježe rast od 63,6% i iznose 1.428.029,75 EUR, a kretanja po podskupinama prikazana su kako slijedi:</w:t>
      </w:r>
    </w:p>
    <w:p>
      <w:r>
        <w:t xml:space="preserve">-          Nematerijalna imovina (Šifra 412) bilježi pad od 38,0% i odnosi se na sanaciju mauzoleja don Šime Ljubića.</w:t>
      </w:r>
    </w:p>
    <w:p>
      <w:r>
        <w:t xml:space="preserve">-          Građevinski objekti (Šifra 421) bilježe rast od 33,7% radi ulaganja ugradnju nerazvrstanih cesta na području Vrbanja i Dola, malonogometno igralište u Dolu sv. Marije, gradnju javne rasvjete, uređenje okoliša osnovne škole, gradnju Centra za upravljanje rizicima od požara i katastrofa i uređenje oko crkve u Selcima.</w:t>
      </w:r>
    </w:p>
    <w:p>
      <w:r>
        <w:t xml:space="preserve">-          Postrojenja i oprema (Šifra 422) bilježe rast od 112,9%, a odnose se na nabavu elektroničke opreme, uredskog namještaja, klima uređaja za čitovnicu i kazalište, i opreme za javnu površinu. </w:t>
      </w:r>
    </w:p>
    <w:p>
      <w:r>
        <w:t xml:space="preserve">-          Dodatna ulaganja na građevinskim objektima (Šifra 451) bilježe rast od 324,6%, a ulaganja se odnose na izradu potrebnih procjena i analiza za rekonstrukciju zgrade Biankini, zgradu Bonj, ulaganja u Dom Vir u Dolu, čitovnicu, zgradu gradske uprave, dječjeg vrtića i zgradu kazališta.</w:t>
      </w:r>
    </w:p>
    <w:p>
      <w:r>
        <w:t xml:space="preserve">Manjak prihoda od nefinancijske imovine je viši za 64,6% nego u prethodnoj godini i iznosi 1.428.029,75 EUR.</w:t>
      </w:r>
    </w:p>
    <w:p>
      <w:r>
        <w:t xml:space="preserve"> </w:t>
      </w:r>
    </w:p>
    <w:p>
      <w:r>
        <w:t xml:space="preserve">Primici i izdaci</w:t>
      </w:r>
    </w:p>
    <w:p>
      <w:r>
        <w:t xml:space="preserve">Primici od financijske imovine i zaduživanja (Šifra 8) su realizirani u iznosu 3.613.518,02 EUR i odnose se na dugoročni zajam državnog proračuna za plaćanje naknada za deposedirana zemljišta.</w:t>
      </w:r>
    </w:p>
    <w:p>
      <w:r>
        <w:t xml:space="preserve">Izdaci za financijsku imovinu i otplate zajmova (Šifra 5) su realizirani u iznosu od 66.500,00 EUR i odnose na povrat glavnice beskamatnog zajma državnog proračuna iz 2020. godine.</w:t>
      </w:r>
    </w:p>
    <w:p>
      <w:r>
        <w:t xml:space="preserve"> </w:t>
      </w:r>
    </w:p>
    <w:p>
      <w:r>
        <w:t xml:space="preserve">Viškovi / manjkovi</w:t>
      </w:r>
    </w:p>
    <w:p>
      <w:r>
        <w:t xml:space="preserve">Ukupni prihodi i primici (Šifra X678) su viši za 133,5% nego u 2024. godini i iznose 8.027.061,71 EUR.</w:t>
      </w:r>
    </w:p>
    <w:p>
      <w:r>
        <w:t xml:space="preserve">Ukupni rashodi i izdaci (Šifra Y345) su viši za 134,9% nego u 2024. godini i iznose 8.000.812,79 EUR.</w:t>
      </w:r>
    </w:p>
    <w:p>
      <w:r>
        <w:t xml:space="preserve">U 2025. godini Grad Stari Grad ostvario je ukupni višak prihoda i primitaka u iznosu od 26.248,92  EUR (Šifra X005).</w:t>
      </w:r>
    </w:p>
    <w:p>
      <w:r>
        <w:t xml:space="preserve">Višak prihoda i primitaka preneseni (Šifra 9221-9222) iznosi 678.830,22 EUR.</w:t>
      </w:r>
    </w:p>
    <w:p>
      <w:r>
        <w:t xml:space="preserve">Ukupni višak prihoda i primitaka raspoloživ u slijedećim razdobljima (Šifra X006) iznosi 705.079,14 EUR, što je u odnosu na usporedno razdoblje više za 3,9%.</w:t>
      </w:r>
    </w:p>
    <w:p>
      <w:r>
        <w:br/>
      </w:r>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3.166.166,84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8.087.687,19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255,4</w:t>
            </w:r>
          </w:p>
        </w:tc>
      </w:tr>
    </w:tbl>
    <w:p>
      <w:pPr>
        <w:spacing w:before="0" w:after="0"/>
      </w:pPr>
    </w:p>
    <w:p>
      <w:r>
        <w:t xml:space="preserve">Izvanbilančni zapisi (Šifra 991 i 996) iznose 8.087.687,19 EUR i bilježe rast od 155,4% u usporedbi s prethodnom godinom. Izvanbilančni zapisi se odnose na:</w:t>
      </w:r>
    </w:p>
    <w:p>
      <w:r>
        <w:t xml:space="preserve">-          Tuđa imovina dobivena na korištenje u iznosu od 182.528,05 EUR. Radi se o višenamjenskoj autocisterni danoj na korištenje od Mìnistarstva gospodarstva.</w:t>
      </w:r>
    </w:p>
    <w:p>
      <w:r>
        <w:t xml:space="preserve">-          Instrumenti osiguranja plaćanja u iznosu od 1.710.789,78 EUR.</w:t>
      </w:r>
    </w:p>
    <w:p>
      <w:r>
        <w:t xml:space="preserve">-          Garancije u iznosu od 75.019,09 EUR.</w:t>
      </w:r>
    </w:p>
    <w:p>
      <w:r>
        <w:t xml:space="preserve">-          Jamstvo za kredit Komunalnom Stari Grad d.o.o. u iznosu 79.633,69 EUR.</w:t>
      </w:r>
    </w:p>
    <w:p>
      <w:r>
        <w:t xml:space="preserve">-          Sudski sporovi u tijeku koji uz ispunjenje određenih uvjeta mogu postati obveza u iznosu od 19.919,90 EUR.</w:t>
      </w:r>
    </w:p>
    <w:p>
      <w:r>
        <w:t xml:space="preserve">-          Preuzete obveze po ugovorima o nabavi roba, radova i usluga u iznosu od 3.838.782,14 EUR.</w:t>
      </w:r>
    </w:p>
    <w:p>
      <w:r>
        <w:t xml:space="preserve">-          Potraživanja po ugovorima o dodijeljenim bespovratnim sredstvima iz EU fondova u iznosu od 2.181.014,54 EUR.</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552.090,56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se odnosi na amortizaciju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obveze (Šifra V007) u ukupnom iznosu 24.943,01 EUR:</w:t>
      </w:r>
    </w:p>
    <w:p>
      <w:r>
        <w:t xml:space="preserve">- Obveze za materijalne rashode u iznosu 13.978,21 EUR sa prekoračenjem preko 360 dana, te 500,00 EUR s prekoračenjem od 181 do 360 dana (usluge prijevoza). </w:t>
      </w:r>
    </w:p>
    <w:p>
      <w:r>
        <w:t xml:space="preserve">- Obveze za kazne, naknade šteta i kapitalne pomoći u iznosu 5.344,88 sa kašnjenjem preko 360 dana (kapitalna pomoć Hvarskom vodovodu d.o.o.).</w:t>
      </w:r>
    </w:p>
    <w:p>
      <w:r>
        <w:t xml:space="preserve">- Obveze za nabavu nefinancijske imovine u iznosu od 5.119,92 EUR, od čega 4.559,03 EUR sa prekoračenjem preko 360 dana za radove, te 560,89 EUR s prekoračenjem od 61 do 180 dana za radove Hvarskom vodovodu d.o.o.</w:t>
      </w:r>
    </w:p>
    <w:p/>
    <w:p>
      <w:pPr>
        <w:jc w:val="center"/>
        <w:pStyle w:val="Normal"/>
        <w:spacing w:line="240" w:lineRule="auto"/>
        <w:keepNext/>
      </w:pPr>
      <w:r>
        <w:rPr>
          <w:sz w:val="28"/>
          <w:rFonts w:ascii="Times New Roman" w:hAnsi="Times New Roman"/>
        </w:rPr>
        <w:t xml:space="preserve">Bilješka 5.</w:t>
      </w:r>
    </w:p>
    <w:p>
      <w:pPr>
        <w:jc w:val="both"/>
        <w:pStyle w:val="Normal"/>
        <w:spacing w:line="240" w:lineRule="auto"/>
      </w:pPr>
      <w:r>
        <w:rPr>
          <w:b/>
          <w:sz w:val="24"/>
          <w:rFonts w:ascii="Times New Roman" w:hAnsi="Times New Roman"/>
        </w:rPr>
        <w:t xml:space="preserve">EU izvještaj</w:t>
      </w:r>
    </w:p>
    <w:p>
      <w:r>
        <w:t xml:space="preserve">U 2025. godini je ostvaren iznos od 11.475,00 EUR prihoda iz Europskog fonda za regionalni razvoj. Prihod je knjižen po odobrenom ZNS-u iz isplaćenog predujma za projekt izgradnje Centra za upravljanje rizicima od požara i katastrofa.</w:t>
      </w:r>
    </w:p>
    <w:p>
      <w:r>
        <w:t xml:space="preserve">Iznos od 40.000,00 EUR je realiziran za projekt uređenja okoliša osnovne škole. Od ukupnog iznosa, 36.000,00 EUR je ostvareno iz Europskog poljoprivrednog fonda za ruralni razvoj, a 4.000,00 EUR je nacionalno sufinanciranje.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9bfa2067e604f39" /></Relationships>
</file>