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83d2c93fa4d6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29582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STARI GRAD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2.512.843,02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2.323.034,88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1.595.937,98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1.894.687,78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916.905,04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428.347,10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592.713,18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631.397,23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592.713,18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631.397,23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203.050,13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Grad Stari Grad ostvario je ukupni manjak prihoda i primitaka u iznosu od 203.050,136 eura. Preneseni višak prihoda i primitaka iznosi 678.830,22 eura, te višak prihoda i primitaka raspoloživ u sljedećem razdoblju iznosi 475.780,09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150.439,94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32.533,79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je u kolovozu obračunat porez na kuće za odmor, dok je u 2025. godini taj porez zamijenio porez na nekretnine. U 2025. godini taj porez još nije obračunat radi prilagođavanja informatičkog rješenja. Naplaćena sredstva se odnose na naplatu poreza na kuće za odmor po poslanim opomenama.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149.446,31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253.044,19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Povremeni porezi na imovinu bilježe rast od 69,3% radi više ostvarenog poreza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54.880,53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71.977,09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Primljene pomoći se odnose na pomoći za nabavu opreme za dječji vrtić, fiskalnu održivost dječjih vrtića i pomoći županije za advent, nabavu sadnica, Hora tour, projekt Oboj Jure i uređenje poljskih i šumskih puteva.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62.233,81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Primljene pomoći se odnose na pomoći za zgradu knjižnice i refundaciju za uređenje Trga S. Radića.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koncesije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12.946,83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23.040,10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Naknada za  dozvole na pomorskom dobru je u 2025. godini naplaćena tokom ljeta, dok je u 2024. godini naplaćeno nakon sezone.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182.480,08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14.016,93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Naplata komunalnog doprinosa bilježi pad od 92,3% radi otkaza djelatnika zaduženog za obračun i naplatu komunalnog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 za prometne i ostale prekršaje u nadležnosti MUP-a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Kazne za prometne i ostale prekršaje bilježe pad od 99,5% radi otkaza djelatnika zaduženog za naplatu prometnih kazni.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60.509,59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100.354,41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tekućeg i investicijskog održavanja bilježe rast od 65,8% radi većih ulaganja u održavanje objekata, javnih površina, puteva i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155.156,89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215.088,57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financijski rashodi bilježe rast od 38,6% radi isplate rate nagodbe za deposedirana zemljišta.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38.720,15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85.509,73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Oprema bilježi rast od 120,8% radi nabave opreme za mrtvačnicu Vrbanj, klime za kazalište i čitovnicu i semafor za igralište u Vrbanju.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101.407,90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Ulaganja se odnose na radove na domu kulture Vir i uređenje svlačionica u Dolu, radove na čitovnici, zgradi muzeja i kazališnoj dvorani.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23.882,12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za materijalne rashode iznose 13.978,21 euro, za kapitalne pomoći Hvarskom vodovodu 5.344,88 eura te za nabavu financijske imovine 4.559,03 eura.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0f71e0c4d04a0e" /></Relationships>
</file>