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Na temelju odredbe članka 35. stavka 1. točke 2. </w:t>
      </w:r>
      <w:r>
        <w:rPr>
          <w:rFonts w:ascii="Times New Roman" w:hAnsi="Times New Roman"/>
          <w:sz w:val="24"/>
          <w:szCs w:val="24"/>
        </w:rPr>
        <w:t xml:space="preserve">Zakona o lokalnoj i područnoj (regionalnoj) samoupravi („Narodne novine“ broj: </w:t>
      </w:r>
      <w:r>
        <w:fldChar w:fldCharType="begin"/>
      </w:r>
      <w:r>
        <w:instrText xml:space="preserve"> HYPERLINK "https://www.zakon.hr/cms.htm?id=260" \t "_blank" </w:instrText>
      </w:r>
      <w:r>
        <w:fldChar w:fldCharType="separate"/>
      </w:r>
      <w:r>
        <w:rPr>
          <w:rStyle w:val="9"/>
          <w:rFonts w:ascii="Times New Roman" w:hAnsi="Times New Roman"/>
          <w:color w:val="auto"/>
          <w:sz w:val="24"/>
          <w:szCs w:val="24"/>
          <w:u w:val="none"/>
        </w:rPr>
        <w:t>33/01</w:t>
      </w:r>
      <w:r>
        <w:rPr>
          <w:rStyle w:val="9"/>
          <w:rFonts w:ascii="Times New Roman" w:hAnsi="Times New Roman"/>
          <w:color w:val="auto"/>
          <w:sz w:val="24"/>
          <w:szCs w:val="24"/>
          <w:u w:val="none"/>
        </w:rPr>
        <w:fldChar w:fldCharType="end"/>
      </w:r>
      <w:r>
        <w:rPr>
          <w:rFonts w:ascii="Times New Roman" w:hAnsi="Times New Roman"/>
          <w:sz w:val="24"/>
          <w:szCs w:val="24"/>
        </w:rPr>
        <w:t xml:space="preserve">, </w:t>
      </w:r>
      <w:r>
        <w:fldChar w:fldCharType="begin"/>
      </w:r>
      <w:r>
        <w:instrText xml:space="preserve"> HYPERLINK "https://www.zakon.hr/cms.htm?id=261" \t "_blank" </w:instrText>
      </w:r>
      <w:r>
        <w:fldChar w:fldCharType="separate"/>
      </w:r>
      <w:r>
        <w:rPr>
          <w:rStyle w:val="9"/>
          <w:rFonts w:ascii="Times New Roman" w:hAnsi="Times New Roman"/>
          <w:color w:val="auto"/>
          <w:sz w:val="24"/>
          <w:szCs w:val="24"/>
          <w:u w:val="none"/>
        </w:rPr>
        <w:t>60/01</w:t>
      </w:r>
      <w:r>
        <w:rPr>
          <w:rStyle w:val="9"/>
          <w:rFonts w:ascii="Times New Roman" w:hAnsi="Times New Roman"/>
          <w:color w:val="auto"/>
          <w:sz w:val="24"/>
          <w:szCs w:val="24"/>
          <w:u w:val="none"/>
        </w:rPr>
        <w:fldChar w:fldCharType="end"/>
      </w:r>
      <w:r>
        <w:rPr>
          <w:rFonts w:ascii="Times New Roman" w:hAnsi="Times New Roman"/>
          <w:sz w:val="24"/>
          <w:szCs w:val="24"/>
        </w:rPr>
        <w:t xml:space="preserve">, </w:t>
      </w:r>
      <w:r>
        <w:fldChar w:fldCharType="begin"/>
      </w:r>
      <w:r>
        <w:instrText xml:space="preserve"> HYPERLINK "https://www.zakon.hr/cms.htm?id=262" \t "_blank" </w:instrText>
      </w:r>
      <w:r>
        <w:fldChar w:fldCharType="separate"/>
      </w:r>
      <w:r>
        <w:rPr>
          <w:rStyle w:val="9"/>
          <w:rFonts w:ascii="Times New Roman" w:hAnsi="Times New Roman"/>
          <w:color w:val="auto"/>
          <w:sz w:val="24"/>
          <w:szCs w:val="24"/>
          <w:u w:val="none"/>
        </w:rPr>
        <w:t>129/05</w:t>
      </w:r>
      <w:r>
        <w:rPr>
          <w:rStyle w:val="9"/>
          <w:rFonts w:ascii="Times New Roman" w:hAnsi="Times New Roman"/>
          <w:color w:val="auto"/>
          <w:sz w:val="24"/>
          <w:szCs w:val="24"/>
          <w:u w:val="none"/>
        </w:rPr>
        <w:fldChar w:fldCharType="end"/>
      </w:r>
      <w:r>
        <w:rPr>
          <w:rFonts w:ascii="Times New Roman" w:hAnsi="Times New Roman"/>
          <w:sz w:val="24"/>
          <w:szCs w:val="24"/>
        </w:rPr>
        <w:t xml:space="preserve">, </w:t>
      </w:r>
      <w:r>
        <w:fldChar w:fldCharType="begin"/>
      </w:r>
      <w:r>
        <w:instrText xml:space="preserve"> HYPERLINK "https://www.zakon.hr/cms.htm?id=263" \t "_blank" </w:instrText>
      </w:r>
      <w:r>
        <w:fldChar w:fldCharType="separate"/>
      </w:r>
      <w:r>
        <w:rPr>
          <w:rStyle w:val="9"/>
          <w:rFonts w:ascii="Times New Roman" w:hAnsi="Times New Roman"/>
          <w:color w:val="auto"/>
          <w:sz w:val="24"/>
          <w:szCs w:val="24"/>
          <w:u w:val="none"/>
        </w:rPr>
        <w:t>109/07</w:t>
      </w:r>
      <w:r>
        <w:rPr>
          <w:rStyle w:val="9"/>
          <w:rFonts w:ascii="Times New Roman" w:hAnsi="Times New Roman"/>
          <w:color w:val="auto"/>
          <w:sz w:val="24"/>
          <w:szCs w:val="24"/>
          <w:u w:val="none"/>
        </w:rPr>
        <w:fldChar w:fldCharType="end"/>
      </w:r>
      <w:r>
        <w:rPr>
          <w:rFonts w:ascii="Times New Roman" w:hAnsi="Times New Roman"/>
          <w:sz w:val="24"/>
          <w:szCs w:val="24"/>
        </w:rPr>
        <w:t xml:space="preserve">, </w:t>
      </w:r>
      <w:r>
        <w:fldChar w:fldCharType="begin"/>
      </w:r>
      <w:r>
        <w:instrText xml:space="preserve"> HYPERLINK "https://www.zakon.hr/cms.htm?id=264" \t "_blank" </w:instrText>
      </w:r>
      <w:r>
        <w:fldChar w:fldCharType="separate"/>
      </w:r>
      <w:r>
        <w:rPr>
          <w:rStyle w:val="9"/>
          <w:rFonts w:ascii="Times New Roman" w:hAnsi="Times New Roman"/>
          <w:color w:val="auto"/>
          <w:sz w:val="24"/>
          <w:szCs w:val="24"/>
          <w:u w:val="none"/>
        </w:rPr>
        <w:t>125/08</w:t>
      </w:r>
      <w:r>
        <w:rPr>
          <w:rStyle w:val="9"/>
          <w:rFonts w:ascii="Times New Roman" w:hAnsi="Times New Roman"/>
          <w:color w:val="auto"/>
          <w:sz w:val="24"/>
          <w:szCs w:val="24"/>
          <w:u w:val="none"/>
        </w:rPr>
        <w:fldChar w:fldCharType="end"/>
      </w:r>
      <w:r>
        <w:rPr>
          <w:rFonts w:ascii="Times New Roman" w:hAnsi="Times New Roman"/>
          <w:sz w:val="24"/>
          <w:szCs w:val="24"/>
        </w:rPr>
        <w:t xml:space="preserve">, </w:t>
      </w:r>
      <w:r>
        <w:fldChar w:fldCharType="begin"/>
      </w:r>
      <w:r>
        <w:instrText xml:space="preserve"> HYPERLINK "https://www.zakon.hr/cms.htm?id=265" \t "_blank" </w:instrText>
      </w:r>
      <w:r>
        <w:fldChar w:fldCharType="separate"/>
      </w:r>
      <w:r>
        <w:rPr>
          <w:rStyle w:val="9"/>
          <w:rFonts w:ascii="Times New Roman" w:hAnsi="Times New Roman"/>
          <w:color w:val="auto"/>
          <w:sz w:val="24"/>
          <w:szCs w:val="24"/>
          <w:u w:val="none"/>
        </w:rPr>
        <w:t>36/09</w:t>
      </w:r>
      <w:r>
        <w:rPr>
          <w:rStyle w:val="9"/>
          <w:rFonts w:ascii="Times New Roman" w:hAnsi="Times New Roman"/>
          <w:color w:val="auto"/>
          <w:sz w:val="24"/>
          <w:szCs w:val="24"/>
          <w:u w:val="none"/>
        </w:rPr>
        <w:fldChar w:fldCharType="end"/>
      </w:r>
      <w:r>
        <w:rPr>
          <w:rFonts w:ascii="Times New Roman" w:hAnsi="Times New Roman"/>
          <w:sz w:val="24"/>
          <w:szCs w:val="24"/>
        </w:rPr>
        <w:t xml:space="preserve">, </w:t>
      </w:r>
      <w:r>
        <w:fldChar w:fldCharType="begin"/>
      </w:r>
      <w:r>
        <w:instrText xml:space="preserve"> HYPERLINK "https://www.zakon.hr/cms.htm?id=266" \t "_blank" </w:instrText>
      </w:r>
      <w:r>
        <w:fldChar w:fldCharType="separate"/>
      </w:r>
      <w:r>
        <w:rPr>
          <w:rStyle w:val="9"/>
          <w:rFonts w:ascii="Times New Roman" w:hAnsi="Times New Roman"/>
          <w:color w:val="auto"/>
          <w:sz w:val="24"/>
          <w:szCs w:val="24"/>
          <w:u w:val="none"/>
        </w:rPr>
        <w:t>36/09</w:t>
      </w:r>
      <w:r>
        <w:rPr>
          <w:rStyle w:val="9"/>
          <w:rFonts w:ascii="Times New Roman" w:hAnsi="Times New Roman"/>
          <w:color w:val="auto"/>
          <w:sz w:val="24"/>
          <w:szCs w:val="24"/>
          <w:u w:val="none"/>
        </w:rPr>
        <w:fldChar w:fldCharType="end"/>
      </w:r>
      <w:r>
        <w:rPr>
          <w:rFonts w:ascii="Times New Roman" w:hAnsi="Times New Roman"/>
          <w:sz w:val="24"/>
          <w:szCs w:val="24"/>
        </w:rPr>
        <w:t>, </w:t>
      </w:r>
      <w:r>
        <w:fldChar w:fldCharType="begin"/>
      </w:r>
      <w:r>
        <w:instrText xml:space="preserve"> HYPERLINK "https://www.zakon.hr/cms.htm?id=267" \t "_blank" </w:instrText>
      </w:r>
      <w:r>
        <w:fldChar w:fldCharType="separate"/>
      </w:r>
      <w:r>
        <w:rPr>
          <w:rStyle w:val="9"/>
          <w:rFonts w:ascii="Times New Roman" w:hAnsi="Times New Roman"/>
          <w:color w:val="auto"/>
          <w:sz w:val="24"/>
          <w:szCs w:val="24"/>
          <w:u w:val="none"/>
        </w:rPr>
        <w:t>150/11</w:t>
      </w:r>
      <w:r>
        <w:rPr>
          <w:rStyle w:val="9"/>
          <w:rFonts w:ascii="Times New Roman" w:hAnsi="Times New Roman"/>
          <w:color w:val="auto"/>
          <w:sz w:val="24"/>
          <w:szCs w:val="24"/>
          <w:u w:val="none"/>
        </w:rPr>
        <w:fldChar w:fldCharType="end"/>
      </w:r>
      <w:r>
        <w:rPr>
          <w:rFonts w:ascii="Times New Roman" w:hAnsi="Times New Roman"/>
          <w:sz w:val="24"/>
          <w:szCs w:val="24"/>
        </w:rPr>
        <w:t xml:space="preserve">, </w:t>
      </w:r>
      <w:r>
        <w:fldChar w:fldCharType="begin"/>
      </w:r>
      <w:r>
        <w:instrText xml:space="preserve"> HYPERLINK "https://www.zakon.hr/cms.htm?id=268" \t "_blank" </w:instrText>
      </w:r>
      <w:r>
        <w:fldChar w:fldCharType="separate"/>
      </w:r>
      <w:r>
        <w:rPr>
          <w:rStyle w:val="9"/>
          <w:rFonts w:ascii="Times New Roman" w:hAnsi="Times New Roman"/>
          <w:color w:val="auto"/>
          <w:sz w:val="24"/>
          <w:szCs w:val="24"/>
          <w:u w:val="none"/>
        </w:rPr>
        <w:t>144/12</w:t>
      </w:r>
      <w:r>
        <w:rPr>
          <w:rStyle w:val="9"/>
          <w:rFonts w:ascii="Times New Roman" w:hAnsi="Times New Roman"/>
          <w:color w:val="auto"/>
          <w:sz w:val="24"/>
          <w:szCs w:val="24"/>
          <w:u w:val="none"/>
        </w:rPr>
        <w:fldChar w:fldCharType="end"/>
      </w:r>
      <w:r>
        <w:rPr>
          <w:rFonts w:ascii="Times New Roman" w:hAnsi="Times New Roman"/>
          <w:sz w:val="24"/>
          <w:szCs w:val="24"/>
        </w:rPr>
        <w:t xml:space="preserve">, </w:t>
      </w:r>
      <w:r>
        <w:fldChar w:fldCharType="begin"/>
      </w:r>
      <w:r>
        <w:instrText xml:space="preserve"> HYPERLINK "https://www.zakon.hr/cms.htm?id=285" \t "_blank" </w:instrText>
      </w:r>
      <w:r>
        <w:fldChar w:fldCharType="separate"/>
      </w:r>
      <w:r>
        <w:rPr>
          <w:rStyle w:val="9"/>
          <w:rFonts w:ascii="Times New Roman" w:hAnsi="Times New Roman"/>
          <w:color w:val="auto"/>
          <w:sz w:val="24"/>
          <w:szCs w:val="24"/>
          <w:u w:val="none"/>
        </w:rPr>
        <w:t>19/13</w:t>
      </w:r>
      <w:r>
        <w:rPr>
          <w:rStyle w:val="9"/>
          <w:rFonts w:ascii="Times New Roman" w:hAnsi="Times New Roman"/>
          <w:color w:val="auto"/>
          <w:sz w:val="24"/>
          <w:szCs w:val="24"/>
          <w:u w:val="none"/>
        </w:rPr>
        <w:fldChar w:fldCharType="end"/>
      </w:r>
      <w:r>
        <w:rPr>
          <w:rFonts w:ascii="Times New Roman" w:hAnsi="Times New Roman"/>
          <w:sz w:val="24"/>
          <w:szCs w:val="24"/>
        </w:rPr>
        <w:t xml:space="preserve">, </w:t>
      </w:r>
      <w:r>
        <w:fldChar w:fldCharType="begin"/>
      </w:r>
      <w:r>
        <w:instrText xml:space="preserve"> HYPERLINK "https://www.zakon.hr/cms.htm?id=15727" \t "_blank" </w:instrText>
      </w:r>
      <w:r>
        <w:fldChar w:fldCharType="separate"/>
      </w:r>
      <w:r>
        <w:rPr>
          <w:rStyle w:val="9"/>
          <w:rFonts w:ascii="Times New Roman" w:hAnsi="Times New Roman"/>
          <w:color w:val="auto"/>
          <w:sz w:val="24"/>
          <w:szCs w:val="24"/>
          <w:u w:val="none"/>
        </w:rPr>
        <w:t>137/15</w:t>
      </w:r>
      <w:r>
        <w:rPr>
          <w:rStyle w:val="9"/>
          <w:rFonts w:ascii="Times New Roman" w:hAnsi="Times New Roman"/>
          <w:color w:val="auto"/>
          <w:sz w:val="24"/>
          <w:szCs w:val="24"/>
          <w:u w:val="none"/>
        </w:rPr>
        <w:fldChar w:fldCharType="end"/>
      </w:r>
      <w:r>
        <w:rPr>
          <w:rFonts w:ascii="Times New Roman" w:hAnsi="Times New Roman"/>
          <w:sz w:val="24"/>
          <w:szCs w:val="24"/>
        </w:rPr>
        <w:t xml:space="preserve">, </w:t>
      </w:r>
      <w:r>
        <w:fldChar w:fldCharType="begin"/>
      </w:r>
      <w:r>
        <w:instrText xml:space="preserve"> HYPERLINK "https://www.zakon.hr/cms.htm?id=26157" \t "_blank" </w:instrText>
      </w:r>
      <w:r>
        <w:fldChar w:fldCharType="separate"/>
      </w:r>
      <w:r>
        <w:rPr>
          <w:rStyle w:val="9"/>
          <w:rFonts w:ascii="Times New Roman" w:hAnsi="Times New Roman"/>
          <w:color w:val="auto"/>
          <w:sz w:val="24"/>
          <w:szCs w:val="24"/>
          <w:u w:val="none"/>
        </w:rPr>
        <w:t>123/17</w:t>
      </w:r>
      <w:r>
        <w:rPr>
          <w:rStyle w:val="9"/>
          <w:rFonts w:ascii="Times New Roman" w:hAnsi="Times New Roman"/>
          <w:color w:val="auto"/>
          <w:sz w:val="24"/>
          <w:szCs w:val="24"/>
          <w:u w:val="none"/>
        </w:rPr>
        <w:fldChar w:fldCharType="end"/>
      </w:r>
      <w:r>
        <w:rPr>
          <w:rFonts w:ascii="Times New Roman" w:hAnsi="Times New Roman"/>
          <w:sz w:val="24"/>
          <w:szCs w:val="24"/>
        </w:rPr>
        <w:t>, </w:t>
      </w:r>
      <w:r>
        <w:fldChar w:fldCharType="begin"/>
      </w:r>
      <w:r>
        <w:instrText xml:space="preserve"> HYPERLINK "https://www.zakon.hr/cms.htm?id=40763" \t "_blank" </w:instrText>
      </w:r>
      <w:r>
        <w:fldChar w:fldCharType="separate"/>
      </w:r>
      <w:r>
        <w:rPr>
          <w:rStyle w:val="9"/>
          <w:rFonts w:ascii="Times New Roman" w:hAnsi="Times New Roman"/>
          <w:color w:val="auto"/>
          <w:sz w:val="24"/>
          <w:szCs w:val="24"/>
          <w:u w:val="none"/>
        </w:rPr>
        <w:t>98/19</w:t>
      </w:r>
      <w:r>
        <w:rPr>
          <w:rStyle w:val="9"/>
          <w:rFonts w:ascii="Times New Roman" w:hAnsi="Times New Roman"/>
          <w:color w:val="auto"/>
          <w:sz w:val="24"/>
          <w:szCs w:val="24"/>
          <w:u w:val="none"/>
        </w:rPr>
        <w:fldChar w:fldCharType="end"/>
      </w:r>
      <w:r>
        <w:rPr>
          <w:rFonts w:ascii="Times New Roman" w:hAnsi="Times New Roman"/>
          <w:sz w:val="24"/>
          <w:szCs w:val="24"/>
        </w:rPr>
        <w:t xml:space="preserve">, </w:t>
      </w:r>
      <w:r>
        <w:fldChar w:fldCharType="begin"/>
      </w:r>
      <w:r>
        <w:instrText xml:space="preserve"> HYPERLINK "https://www.zakon.hr/cms.htm?id=46702" \t "_blank" </w:instrText>
      </w:r>
      <w:r>
        <w:fldChar w:fldCharType="separate"/>
      </w:r>
      <w:r>
        <w:rPr>
          <w:rStyle w:val="9"/>
          <w:rFonts w:ascii="Times New Roman" w:hAnsi="Times New Roman"/>
          <w:color w:val="auto"/>
          <w:sz w:val="24"/>
          <w:szCs w:val="24"/>
          <w:u w:val="none"/>
        </w:rPr>
        <w:t>144/20</w:t>
      </w:r>
      <w:r>
        <w:rPr>
          <w:rStyle w:val="9"/>
          <w:rFonts w:ascii="Times New Roman" w:hAnsi="Times New Roman"/>
          <w:color w:val="auto"/>
          <w:sz w:val="24"/>
          <w:szCs w:val="24"/>
          <w:u w:val="none"/>
        </w:rPr>
        <w:fldChar w:fldCharType="end"/>
      </w:r>
      <w:r>
        <w:rPr>
          <w:rFonts w:ascii="Times New Roman" w:hAnsi="Times New Roman"/>
          <w:sz w:val="24"/>
          <w:szCs w:val="24"/>
        </w:rPr>
        <w:t>)</w:t>
      </w:r>
      <w:r>
        <w:rPr>
          <w:rFonts w:ascii="Times New Roman" w:hAnsi="Times New Roman" w:eastAsia="Times New Roman"/>
          <w:sz w:val="24"/>
          <w:szCs w:val="24"/>
          <w:lang w:eastAsia="hr-HR"/>
        </w:rPr>
        <w:t>, u svezi s člankom 14. Zakona o zaštiti od požara ("Narodne novine", broj:  92/10) i Programa aktivnosti u provedbi posebnih mjera zaštite od požara od interesa za Republiku Hrvatsku u 2022. godini i odredbe članka 32. stavka 1. podstavka 31. Statuta Grada Starog Grada („Službeni glasnik Grada Staroga Grada“ broj: 12/09, 3/10, 4/13, 5/13, 6/18 i 2/20) na prijedlog Gradonačelnika i Stožera civilne zaštite Grada Staroga Grada,</w:t>
      </w:r>
      <w:r>
        <w:rPr>
          <w:rFonts w:ascii="Times New Roman" w:hAnsi="Times New Roman" w:eastAsia="Times New Roman"/>
          <w:i/>
          <w:sz w:val="24"/>
          <w:szCs w:val="24"/>
          <w:lang w:eastAsia="hr-HR"/>
        </w:rPr>
        <w:t xml:space="preserve"> Gradsko vijeće Grada Starog Grada </w:t>
      </w:r>
      <w:r>
        <w:rPr>
          <w:rFonts w:ascii="Times New Roman" w:hAnsi="Times New Roman" w:eastAsia="Times New Roman"/>
          <w:sz w:val="24"/>
          <w:szCs w:val="24"/>
          <w:lang w:eastAsia="hr-HR"/>
        </w:rPr>
        <w:t xml:space="preserve">na </w:t>
      </w:r>
      <w:r>
        <w:rPr>
          <w:rFonts w:hint="default" w:ascii="Times New Roman" w:hAnsi="Times New Roman" w:eastAsia="Times New Roman"/>
          <w:sz w:val="24"/>
          <w:szCs w:val="24"/>
          <w:lang w:val="en-US" w:eastAsia="hr-HR"/>
        </w:rPr>
        <w:t>VII</w:t>
      </w:r>
      <w:r>
        <w:rPr>
          <w:rFonts w:ascii="Times New Roman" w:hAnsi="Times New Roman" w:eastAsia="Times New Roman"/>
          <w:sz w:val="24"/>
          <w:szCs w:val="24"/>
          <w:lang w:eastAsia="hr-HR"/>
        </w:rPr>
        <w:t>.  sjednici održanoj dana</w:t>
      </w:r>
      <w:r>
        <w:rPr>
          <w:rFonts w:hint="default" w:ascii="Times New Roman" w:hAnsi="Times New Roman" w:eastAsia="Times New Roman"/>
          <w:sz w:val="24"/>
          <w:szCs w:val="24"/>
          <w:lang w:val="en-US" w:eastAsia="hr-HR"/>
        </w:rPr>
        <w:t xml:space="preserve">, 23. lipnja </w:t>
      </w:r>
      <w:r>
        <w:rPr>
          <w:rFonts w:ascii="Times New Roman" w:hAnsi="Times New Roman" w:eastAsia="Times New Roman"/>
          <w:sz w:val="24"/>
          <w:szCs w:val="24"/>
          <w:lang w:eastAsia="hr-HR"/>
        </w:rPr>
        <w:t xml:space="preserve"> 2022. godine donosi</w:t>
      </w:r>
    </w:p>
    <w:p>
      <w:pPr>
        <w:tabs>
          <w:tab w:val="left" w:pos="7920"/>
        </w:tabs>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p>
    <w:p>
      <w:pPr>
        <w:pStyle w:val="14"/>
        <w:jc w:val="center"/>
        <w:rPr>
          <w:rFonts w:ascii="Times New Roman" w:hAnsi="Times New Roman"/>
          <w:b/>
          <w:sz w:val="24"/>
          <w:szCs w:val="24"/>
        </w:rPr>
      </w:pPr>
      <w:r>
        <w:rPr>
          <w:rFonts w:ascii="Times New Roman" w:hAnsi="Times New Roman"/>
          <w:b/>
          <w:sz w:val="24"/>
          <w:szCs w:val="24"/>
        </w:rPr>
        <w:t>P L A N</w:t>
      </w:r>
    </w:p>
    <w:p>
      <w:pPr>
        <w:pStyle w:val="14"/>
        <w:jc w:val="center"/>
        <w:rPr>
          <w:rFonts w:ascii="Times New Roman" w:hAnsi="Times New Roman"/>
          <w:b/>
          <w:sz w:val="24"/>
          <w:szCs w:val="24"/>
        </w:rPr>
      </w:pPr>
    </w:p>
    <w:p>
      <w:pPr>
        <w:pStyle w:val="14"/>
        <w:jc w:val="center"/>
        <w:rPr>
          <w:rFonts w:ascii="Times New Roman" w:hAnsi="Times New Roman"/>
          <w:b/>
          <w:sz w:val="24"/>
          <w:szCs w:val="24"/>
        </w:rPr>
      </w:pPr>
      <w:r>
        <w:rPr>
          <w:rFonts w:ascii="Times New Roman" w:hAnsi="Times New Roman"/>
          <w:b/>
          <w:sz w:val="24"/>
          <w:szCs w:val="24"/>
        </w:rPr>
        <w:t>operativne primjene Programa aktivnosti u provedbi posebnih mjera zaštite</w:t>
      </w:r>
    </w:p>
    <w:p>
      <w:pPr>
        <w:pStyle w:val="14"/>
        <w:jc w:val="center"/>
        <w:rPr>
          <w:rFonts w:ascii="Times New Roman" w:hAnsi="Times New Roman"/>
          <w:b/>
          <w:sz w:val="24"/>
          <w:szCs w:val="24"/>
        </w:rPr>
      </w:pPr>
      <w:r>
        <w:rPr>
          <w:rFonts w:ascii="Times New Roman" w:hAnsi="Times New Roman"/>
          <w:b/>
          <w:sz w:val="24"/>
          <w:szCs w:val="24"/>
        </w:rPr>
        <w:t>od požara od interesa za Republiku Hrvatsku u 2022. godini</w:t>
      </w:r>
    </w:p>
    <w:p>
      <w:pPr>
        <w:pStyle w:val="14"/>
        <w:jc w:val="center"/>
        <w:rPr>
          <w:rFonts w:ascii="Times New Roman" w:hAnsi="Times New Roman"/>
          <w:b/>
          <w:sz w:val="24"/>
          <w:szCs w:val="24"/>
        </w:rPr>
      </w:pPr>
      <w:r>
        <w:rPr>
          <w:rFonts w:ascii="Times New Roman" w:hAnsi="Times New Roman"/>
          <w:b/>
          <w:sz w:val="24"/>
          <w:szCs w:val="24"/>
        </w:rPr>
        <w:t>na području Grada Starog Grada</w:t>
      </w:r>
    </w:p>
    <w:p>
      <w:pPr>
        <w:pStyle w:val="14"/>
        <w:jc w:val="center"/>
        <w:rPr>
          <w:rFonts w:ascii="Times New Roman" w:hAnsi="Times New Roman"/>
          <w:b/>
          <w:sz w:val="24"/>
          <w:szCs w:val="24"/>
        </w:rPr>
      </w:pPr>
    </w:p>
    <w:p>
      <w:pPr>
        <w:spacing w:after="0" w:line="240" w:lineRule="auto"/>
        <w:jc w:val="both"/>
        <w:rPr>
          <w:rFonts w:ascii="Times New Roman" w:hAnsi="Times New Roman" w:eastAsia="Times New Roman"/>
          <w:b/>
          <w:sz w:val="24"/>
          <w:szCs w:val="24"/>
          <w:lang w:eastAsia="hr-HR"/>
        </w:rPr>
      </w:pPr>
    </w:p>
    <w:p>
      <w:pPr>
        <w:pStyle w:val="10"/>
        <w:numPr>
          <w:ilvl w:val="0"/>
          <w:numId w:val="1"/>
        </w:numPr>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NORMATIVNE I OPĆE ODREDNICE</w:t>
      </w:r>
    </w:p>
    <w:p>
      <w:pPr>
        <w:pStyle w:val="10"/>
        <w:spacing w:after="0" w:line="240" w:lineRule="auto"/>
        <w:ind w:left="765"/>
        <w:jc w:val="both"/>
        <w:rPr>
          <w:rFonts w:ascii="Times New Roman" w:hAnsi="Times New Roman" w:eastAsia="Times New Roman"/>
          <w:b/>
          <w:sz w:val="24"/>
          <w:szCs w:val="24"/>
          <w:lang w:eastAsia="hr-HR"/>
        </w:rPr>
      </w:pPr>
    </w:p>
    <w:p>
      <w:pPr>
        <w:spacing w:after="0" w:line="240" w:lineRule="auto"/>
        <w:ind w:left="45"/>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1.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Ovim Planom utvrđuju se osnovne pretpostavke, planiranje i provedba, preventivne i operativne aktivnosti, ustrojavanje i organizacija, uporaba vatrogasnih snaga i opreme, financiranje, zapovijedanje i nadzor u provedbi posebnih mjera na otklanjanju opasnosti od nastanka i širenja požara na području Grada Staroga Grada u 2022. godini.</w:t>
      </w:r>
    </w:p>
    <w:p>
      <w:pPr>
        <w:spacing w:after="0" w:line="240" w:lineRule="auto"/>
        <w:ind w:left="45"/>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2.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Plan operativne primjene Programa aktivnosti u provedbi posebnih mjera zaštite od požara od interesa za Republiku Hrvatsku u 2022. godini na području Grada Staroga Grada (u daljnjem tekstu: Plan) temelji se na odredbama Programa aktivnosti u provedbi posebnih mjera zaštite od požara od interesa za RH u 2022. godini kojeg je donijela Vlada Republike Hrvatske</w:t>
      </w:r>
      <w:r>
        <w:rPr>
          <w:rFonts w:ascii="Times New Roman" w:hAnsi="Times New Roman" w:eastAsia="Times New Roman"/>
          <w:color w:val="FF0000"/>
          <w:sz w:val="24"/>
          <w:szCs w:val="24"/>
          <w:lang w:eastAsia="hr-HR"/>
        </w:rPr>
        <w:t xml:space="preserve"> </w:t>
      </w:r>
      <w:r>
        <w:rPr>
          <w:rFonts w:ascii="Times New Roman" w:hAnsi="Times New Roman" w:eastAsia="Times New Roman"/>
          <w:sz w:val="24"/>
          <w:szCs w:val="24"/>
          <w:lang w:eastAsia="hr-HR"/>
        </w:rPr>
        <w:t>20. siječnja 2022. godine, a odnosi se na područje Grada Staroga Grada kao jedinicu lokalne samouprave. Plan se temelji i na slijedećim dokumentima:</w:t>
      </w:r>
    </w:p>
    <w:p>
      <w:pPr>
        <w:pStyle w:val="10"/>
        <w:numPr>
          <w:ilvl w:val="3"/>
          <w:numId w:val="2"/>
        </w:numPr>
        <w:spacing w:after="0" w:line="240" w:lineRule="auto"/>
        <w:ind w:left="709" w:hanging="709"/>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Plan intervencija kod velikih požara otvorenog prostora na teritoriju Republike Hrvatske, („Narodne novine“ broj: 25/01) a kojeg je Vlada Republike Hrvatske donijela 22. ožujka 2001. godine,</w:t>
      </w:r>
    </w:p>
    <w:p>
      <w:pPr>
        <w:pStyle w:val="10"/>
        <w:numPr>
          <w:ilvl w:val="3"/>
          <w:numId w:val="2"/>
        </w:numPr>
        <w:spacing w:after="0" w:line="240" w:lineRule="auto"/>
        <w:ind w:left="709" w:hanging="709"/>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Zakon o poljoprivrednom zemljištu („Narodne novine“, broj: 20/18, 115/18, 98/19),</w:t>
      </w:r>
    </w:p>
    <w:p>
      <w:pPr>
        <w:pStyle w:val="10"/>
        <w:numPr>
          <w:ilvl w:val="3"/>
          <w:numId w:val="2"/>
        </w:numPr>
        <w:spacing w:after="0" w:line="240" w:lineRule="auto"/>
        <w:ind w:left="709" w:hanging="709"/>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Pravilnik o zaštiti šuma od požara („Narodne novine“, broj: 33/14).</w:t>
      </w:r>
    </w:p>
    <w:p>
      <w:pPr>
        <w:pStyle w:val="10"/>
        <w:spacing w:after="0" w:line="240" w:lineRule="auto"/>
        <w:ind w:left="709"/>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Ovim se Planom, kao godišnjim provedbenim planom unapređenja zaštite od požara, vrši privremeno usklađenje svih bitnih odrednica i podataka iz Procjene i Plana ugroženosti od požara Grada Staroga Grada („Službeni glasnik Grada Staroga Grada“, broj: 5/17) temeljem iskustava stečenih u razdoblju od njihovog donošenja do izrade ovog Plana kao i s novonastalim uvjetima iz razmatranog stanja zaštite od požara u prethodnoj godini. </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3.</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Grad Stari Grad je, za svoje područje, izradio i donio slijedeće dokumente:</w:t>
      </w:r>
    </w:p>
    <w:p>
      <w:pPr>
        <w:pStyle w:val="10"/>
        <w:numPr>
          <w:ilvl w:val="0"/>
          <w:numId w:val="3"/>
        </w:numPr>
        <w:spacing w:after="0" w:line="240" w:lineRule="auto"/>
        <w:ind w:left="0" w:firstLine="0"/>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Procjenu ugroženosti od požara i Plan zaštite od požara, sukladno Pravilniku o sadržaju plana zaštite od požara i tehnoloških eksplozija (“Narodne novine”, broj: 35/94, 110/05, 28/10), a koji su doneseni na sjednici Gradskog vijeća Grada Staroga Grada održanoj dana 6. travnja 2017. godine, uz prethodno pribavljeno pozitivno mišljenje Vatrogasne zajednice Splitsko-dalmatinske županije, Broj: 73-4/16 od 15. rujna 2016. godine i Policijske uprave Splitsko-dalmatinske, Broj: 511-12-21-15395/2-2016-Z.P. od 30. prosinca 2016. godine;</w:t>
      </w:r>
    </w:p>
    <w:p>
      <w:pPr>
        <w:pStyle w:val="10"/>
        <w:numPr>
          <w:ilvl w:val="0"/>
          <w:numId w:val="3"/>
        </w:numPr>
        <w:spacing w:after="0" w:line="240" w:lineRule="auto"/>
        <w:ind w:left="540"/>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Procjenu ugroženosti stanovništva, materijalnih i kulturnih dobara i okoliša od katastrofa i velikih nesreća, donesenu na sjednici Gradskog vijeća održanoj dana 14. ožujka 2011. godine;</w:t>
      </w:r>
    </w:p>
    <w:p>
      <w:pPr>
        <w:pStyle w:val="10"/>
        <w:numPr>
          <w:ilvl w:val="0"/>
          <w:numId w:val="3"/>
        </w:numPr>
        <w:spacing w:after="0" w:line="240" w:lineRule="auto"/>
        <w:ind w:left="540"/>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Plan zaštite i spašavanja i Plan civilne zaštite, donesene na sjednici Gradskog vijeća održanoj dana 30. travnja 2012. godine.</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 </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Sukladno zaključku iz Analize stanja 2021., Plana razvoja sustava civilne zaštite za 2022. g. navedeni akti će se primjenjivati tijekom 2022. godine.</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Analogno i supsidijarno, na Grad Stari Grad, se primjenjuju Plan zaštite i spašavanja u slučaju poplava (Bujice i seši ili šćige) i potresa, Plan mobilizacije civilne zaštite, Plan djelovanja civilne zaštite i Plan pozivanja Stožera civilne zaštite, sve u skladu s važećom Procjenom ugroženosti ljudi i materijalnih dobara za područje Grada Starog Grada. Na Grad Stari Grad se primjenjuje i Plan za žurnu evakuaciju turista u ljetnoj sezoni koji je ažuriran za 2022 .godinu.</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Grad Stari Grad također je donio i </w:t>
      </w:r>
    </w:p>
    <w:p>
      <w:pPr>
        <w:pStyle w:val="10"/>
        <w:numPr>
          <w:ilvl w:val="0"/>
          <w:numId w:val="3"/>
        </w:numPr>
        <w:spacing w:after="0" w:line="240" w:lineRule="auto"/>
        <w:ind w:hanging="450"/>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Odluku o mjerama za korištenje poljoprivrednog zemljišta („Službeni glasnik Grada Staroga Grada“, broj: 4/04),</w:t>
      </w:r>
    </w:p>
    <w:p>
      <w:pPr>
        <w:pStyle w:val="10"/>
        <w:numPr>
          <w:ilvl w:val="0"/>
          <w:numId w:val="3"/>
        </w:numPr>
        <w:spacing w:after="0" w:line="240" w:lineRule="auto"/>
        <w:ind w:hanging="450"/>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Analizu stanja sustava civilne zaštite za 2021. i Plan razvoja sustava civilne zaštite za 2022. godinu te</w:t>
      </w:r>
    </w:p>
    <w:p>
      <w:pPr>
        <w:pStyle w:val="10"/>
        <w:numPr>
          <w:ilvl w:val="0"/>
          <w:numId w:val="3"/>
        </w:numPr>
        <w:spacing w:after="0" w:line="240" w:lineRule="auto"/>
        <w:ind w:hanging="450"/>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Odluku </w:t>
      </w:r>
      <w:r>
        <w:rPr>
          <w:rFonts w:ascii="Times New Roman" w:hAnsi="Times New Roman" w:eastAsia="Times New Roman"/>
          <w:bCs/>
          <w:color w:val="000000"/>
          <w:sz w:val="24"/>
          <w:szCs w:val="24"/>
          <w:lang w:eastAsia="hr-HR"/>
        </w:rPr>
        <w:t>o osnivanju i imenovanju Stožera civilne zaštite Grada Staroga Grada dana 19. veljače  2020. godine.</w:t>
      </w:r>
    </w:p>
    <w:p>
      <w:pPr>
        <w:pStyle w:val="10"/>
        <w:numPr>
          <w:ilvl w:val="0"/>
          <w:numId w:val="3"/>
        </w:numPr>
        <w:spacing w:after="0" w:line="240" w:lineRule="auto"/>
        <w:ind w:hanging="450"/>
        <w:jc w:val="both"/>
        <w:rPr>
          <w:rFonts w:ascii="Times New Roman" w:hAnsi="Times New Roman" w:eastAsia="Times New Roman"/>
          <w:sz w:val="24"/>
          <w:szCs w:val="24"/>
          <w:lang w:eastAsia="hr-HR"/>
        </w:rPr>
      </w:pPr>
      <w:r>
        <w:rPr>
          <w:rFonts w:ascii="Times New Roman" w:hAnsi="Times New Roman" w:eastAsia="Times New Roman"/>
          <w:bCs/>
          <w:color w:val="000000"/>
          <w:sz w:val="24"/>
          <w:szCs w:val="24"/>
          <w:lang w:eastAsia="hr-HR"/>
        </w:rPr>
        <w:t>Plan pozivanja Stožera Civilne zaštite</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Grad Stari Grad je uključen u sustav Registra šteta Republike Hrvatske te ima jednog ovlaštenog operatera za pristup službenom software-u kojim se evidentiraju štete od proglašenih elementarnih nepogoda.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4.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Plan rada Stožera Civilne zaštite Grada Starog Grada za požarnu sezonu 2022. godinu definiran je točkom 21. ovog Plana; Plan aktivnog uključivanja svih subjekata zaštite od požara na području Grada Starog Grada definiran je točkom 23. i točkom 24. ovog Plana i Planom zaštite i spašavanja Grada Starog Grada.; Prijedlozi lokaliteta i prostora radi uspostave odgovarajućih zapovjednih mjesta u gašenju velikih požara otvorenog prostora definirani su točkom 28. ovog Plana; Financijski plan osiguranih sredstava za provođenje zadaća tijekom požarne sezone 2021. g. na području Grada Starog Grada utvrđen je u točki 24. ovog Plana;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Utvrđuje se da su kroz odredbe ovog Plana izvršena potrebna usklađenja s novonastalim uvjetima bitnim za zaštitu od požara temeljem raščlambi stanja za proteklo jednogodišnje razdoblje, kao što je navedeno u točki 2. ovog Plana. Donošenjem ovog Plana izvršen je i godišnji provedbeni plan unapređenja zaštite od požara i njegovog financiranja.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5.</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Na temelju članka 3. Zakona o zaštiti od požara, Grad Stari Grad ovlašćuje DVD Stari Grad da u ime Grada Staroga Grada koordinira aktivnostima oko provedbe odredbi Procjene ugroženosti i Plana zaštite od požara te ovog Plana u svim potrebnim fazama.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 xml:space="preserve">II </w:t>
      </w:r>
      <w:r>
        <w:rPr>
          <w:rFonts w:ascii="Times New Roman" w:hAnsi="Times New Roman" w:eastAsia="Times New Roman"/>
          <w:b/>
          <w:sz w:val="24"/>
          <w:szCs w:val="24"/>
          <w:lang w:eastAsia="hr-HR"/>
        </w:rPr>
        <w:tab/>
      </w:r>
      <w:r>
        <w:rPr>
          <w:rFonts w:ascii="Times New Roman" w:hAnsi="Times New Roman" w:eastAsia="Times New Roman"/>
          <w:b/>
          <w:sz w:val="24"/>
          <w:szCs w:val="24"/>
          <w:lang w:eastAsia="hr-HR"/>
        </w:rPr>
        <w:t xml:space="preserve">PROVEDBA PREVENTIVNIH I OPERATIVNIH AKTIVNOSTI NA </w:t>
      </w:r>
      <w:r>
        <w:rPr>
          <w:rFonts w:ascii="Times New Roman" w:hAnsi="Times New Roman" w:eastAsia="Times New Roman"/>
          <w:b/>
          <w:sz w:val="24"/>
          <w:szCs w:val="24"/>
          <w:lang w:eastAsia="hr-HR"/>
        </w:rPr>
        <w:tab/>
      </w:r>
      <w:r>
        <w:rPr>
          <w:rFonts w:ascii="Times New Roman" w:hAnsi="Times New Roman" w:eastAsia="Times New Roman"/>
          <w:b/>
          <w:sz w:val="24"/>
          <w:szCs w:val="24"/>
          <w:lang w:eastAsia="hr-HR"/>
        </w:rPr>
        <w:tab/>
      </w:r>
      <w:r>
        <w:rPr>
          <w:rFonts w:ascii="Times New Roman" w:hAnsi="Times New Roman" w:eastAsia="Times New Roman"/>
          <w:b/>
          <w:sz w:val="24"/>
          <w:szCs w:val="24"/>
          <w:lang w:eastAsia="hr-HR"/>
        </w:rPr>
        <w:tab/>
      </w:r>
      <w:r>
        <w:rPr>
          <w:rFonts w:ascii="Times New Roman" w:hAnsi="Times New Roman" w:eastAsia="Times New Roman"/>
          <w:b/>
          <w:sz w:val="24"/>
          <w:szCs w:val="24"/>
          <w:lang w:eastAsia="hr-HR"/>
        </w:rPr>
        <w:t>OTKLANJANJU OPASNOSTI OD NASTAJANJA I ŠIRENJA POŽARA</w:t>
      </w:r>
    </w:p>
    <w:p>
      <w:pPr>
        <w:spacing w:after="0" w:line="240" w:lineRule="auto"/>
        <w:jc w:val="both"/>
        <w:rPr>
          <w:rFonts w:ascii="Times New Roman" w:hAnsi="Times New Roman" w:eastAsia="Times New Roman"/>
          <w:b/>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6.</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"Hrvatske šume" d.o.o. Zagreb, Uprava šuma Split, Šumarija Hvar donosi   Plan zaštite šuma od požara za 2022. godinu. Navedenim Planom planirana je služba motrenja i dojave, te ophodnje u periodu od 1. lipnja do 30. rujna 2022. godine na području Šumarije Hvar – cijeli otok sa pripadajućim otočićima. Sukladno odredbama Plana zaštite šuma od požara za 2022. godinu, na području Šumarije Hvar planirano je motrenje i ophodnja po mjestu i vremenu za područje Grada Starog Grada kako slijedi: </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 </w:t>
      </w:r>
      <w:r>
        <w:rPr>
          <w:rFonts w:ascii="Times New Roman" w:hAnsi="Times New Roman" w:eastAsia="Times New Roman"/>
          <w:sz w:val="24"/>
          <w:szCs w:val="24"/>
          <w:lang w:eastAsia="hr-HR"/>
        </w:rPr>
        <w:tab/>
      </w:r>
      <w:r>
        <w:rPr>
          <w:rFonts w:ascii="Times New Roman" w:hAnsi="Times New Roman" w:eastAsia="Times New Roman"/>
          <w:b/>
          <w:sz w:val="24"/>
          <w:szCs w:val="24"/>
          <w:lang w:eastAsia="hr-HR"/>
        </w:rPr>
        <w:t>ophodnja :</w:t>
      </w:r>
      <w:r>
        <w:rPr>
          <w:rFonts w:ascii="Times New Roman" w:hAnsi="Times New Roman" w:eastAsia="Times New Roman"/>
          <w:sz w:val="24"/>
          <w:szCs w:val="24"/>
          <w:lang w:eastAsia="hr-HR"/>
        </w:rPr>
        <w:t xml:space="preserve"> Čuvari šuma, motritelji započinju rad na ophodnji i motrenju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svakodnevno </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w:t>
      </w:r>
      <w:r>
        <w:rPr>
          <w:rFonts w:ascii="Times New Roman" w:hAnsi="Times New Roman" w:eastAsia="Times New Roman"/>
          <w:sz w:val="24"/>
          <w:szCs w:val="24"/>
          <w:lang w:eastAsia="hr-HR"/>
        </w:rPr>
        <w:tab/>
      </w:r>
      <w:r>
        <w:rPr>
          <w:rFonts w:ascii="Times New Roman" w:hAnsi="Times New Roman" w:eastAsia="Times New Roman"/>
          <w:b/>
          <w:sz w:val="24"/>
          <w:szCs w:val="24"/>
          <w:lang w:eastAsia="hr-HR"/>
        </w:rPr>
        <w:t>motrionice:</w:t>
      </w:r>
      <w:r>
        <w:rPr>
          <w:rFonts w:ascii="Times New Roman" w:hAnsi="Times New Roman" w:eastAsia="Times New Roman"/>
          <w:sz w:val="24"/>
          <w:szCs w:val="24"/>
          <w:lang w:eastAsia="hr-HR"/>
        </w:rPr>
        <w:t xml:space="preserve">  rade u vremenu 07.</w:t>
      </w:r>
      <w:r>
        <w:rPr>
          <w:rFonts w:ascii="Times New Roman" w:hAnsi="Times New Roman" w:eastAsia="Times New Roman"/>
          <w:sz w:val="24"/>
          <w:szCs w:val="24"/>
          <w:vertAlign w:val="superscript"/>
          <w:lang w:eastAsia="hr-HR"/>
        </w:rPr>
        <w:t>00</w:t>
      </w:r>
      <w:r>
        <w:rPr>
          <w:rFonts w:ascii="Times New Roman" w:hAnsi="Times New Roman" w:eastAsia="Times New Roman"/>
          <w:sz w:val="24"/>
          <w:szCs w:val="24"/>
          <w:lang w:eastAsia="hr-HR"/>
        </w:rPr>
        <w:t xml:space="preserve"> sati do 19.</w:t>
      </w:r>
      <w:r>
        <w:rPr>
          <w:rFonts w:ascii="Times New Roman" w:hAnsi="Times New Roman" w:eastAsia="Times New Roman"/>
          <w:sz w:val="24"/>
          <w:szCs w:val="24"/>
          <w:vertAlign w:val="superscript"/>
          <w:lang w:eastAsia="hr-HR"/>
        </w:rPr>
        <w:t>00</w:t>
      </w:r>
      <w:r>
        <w:rPr>
          <w:rFonts w:ascii="Times New Roman" w:hAnsi="Times New Roman" w:eastAsia="Times New Roman"/>
          <w:sz w:val="24"/>
          <w:szCs w:val="24"/>
          <w:lang w:eastAsia="hr-HR"/>
        </w:rPr>
        <w:t xml:space="preserve"> sati</w:t>
      </w:r>
    </w:p>
    <w:p>
      <w:pPr>
        <w:spacing w:after="0" w:line="240" w:lineRule="auto"/>
        <w:ind w:left="709"/>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Sveti Nikola (098/393 813), Zakaštil (098/393 915), </w:t>
      </w:r>
    </w:p>
    <w:p>
      <w:pPr>
        <w:numPr>
          <w:ilvl w:val="0"/>
          <w:numId w:val="4"/>
        </w:numPr>
        <w:spacing w:after="0" w:line="240" w:lineRule="auto"/>
        <w:ind w:left="142" w:firstLine="567"/>
        <w:jc w:val="both"/>
        <w:rPr>
          <w:rFonts w:ascii="Times New Roman" w:hAnsi="Times New Roman" w:eastAsia="Times New Roman"/>
          <w:sz w:val="24"/>
          <w:szCs w:val="24"/>
          <w:lang w:eastAsia="hr-HR"/>
        </w:rPr>
      </w:pPr>
      <w:r>
        <w:rPr>
          <w:rFonts w:ascii="Times New Roman" w:hAnsi="Times New Roman" w:eastAsia="Times New Roman"/>
          <w:b/>
          <w:sz w:val="24"/>
          <w:szCs w:val="24"/>
          <w:lang w:eastAsia="hr-HR"/>
        </w:rPr>
        <w:t>motrionice:</w:t>
      </w:r>
      <w:r>
        <w:rPr>
          <w:rFonts w:ascii="Times New Roman" w:hAnsi="Times New Roman" w:eastAsia="Times New Roman"/>
          <w:sz w:val="24"/>
          <w:szCs w:val="24"/>
          <w:lang w:eastAsia="hr-HR"/>
        </w:rPr>
        <w:t xml:space="preserve">  rade u vremenu 11.</w:t>
      </w:r>
      <w:r>
        <w:rPr>
          <w:rFonts w:ascii="Times New Roman" w:hAnsi="Times New Roman" w:eastAsia="Times New Roman"/>
          <w:sz w:val="24"/>
          <w:szCs w:val="24"/>
          <w:vertAlign w:val="superscript"/>
          <w:lang w:eastAsia="hr-HR"/>
        </w:rPr>
        <w:t>00</w:t>
      </w:r>
      <w:r>
        <w:rPr>
          <w:rFonts w:ascii="Times New Roman" w:hAnsi="Times New Roman" w:eastAsia="Times New Roman"/>
          <w:sz w:val="24"/>
          <w:szCs w:val="24"/>
          <w:lang w:eastAsia="hr-HR"/>
        </w:rPr>
        <w:t xml:space="preserve"> sati do 19.</w:t>
      </w:r>
      <w:r>
        <w:rPr>
          <w:rFonts w:ascii="Times New Roman" w:hAnsi="Times New Roman" w:eastAsia="Times New Roman"/>
          <w:sz w:val="24"/>
          <w:szCs w:val="24"/>
          <w:vertAlign w:val="superscript"/>
          <w:lang w:eastAsia="hr-HR"/>
        </w:rPr>
        <w:t>00</w:t>
      </w:r>
      <w:r>
        <w:rPr>
          <w:rFonts w:ascii="Times New Roman" w:hAnsi="Times New Roman" w:eastAsia="Times New Roman"/>
          <w:sz w:val="24"/>
          <w:szCs w:val="24"/>
          <w:lang w:eastAsia="hr-HR"/>
        </w:rPr>
        <w:t xml:space="preserve"> sati</w:t>
      </w:r>
    </w:p>
    <w:p>
      <w:pPr>
        <w:spacing w:after="0" w:line="240" w:lineRule="auto"/>
        <w:ind w:left="709"/>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Vratnik (098/393 917)</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p>
    <w:p>
      <w:pPr>
        <w:numPr>
          <w:ilvl w:val="0"/>
          <w:numId w:val="4"/>
        </w:numPr>
        <w:spacing w:after="0" w:line="240" w:lineRule="auto"/>
        <w:ind w:left="142" w:firstLine="567"/>
        <w:jc w:val="both"/>
        <w:rPr>
          <w:rFonts w:ascii="Times New Roman" w:hAnsi="Times New Roman" w:eastAsia="Times New Roman"/>
          <w:sz w:val="24"/>
          <w:szCs w:val="24"/>
          <w:lang w:eastAsia="hr-HR"/>
        </w:rPr>
      </w:pPr>
      <w:r>
        <w:rPr>
          <w:rFonts w:ascii="Times New Roman" w:hAnsi="Times New Roman" w:eastAsia="Times New Roman"/>
          <w:b/>
          <w:sz w:val="24"/>
          <w:szCs w:val="24"/>
          <w:lang w:eastAsia="hr-HR"/>
        </w:rPr>
        <w:t>motriteljska mjesta:</w:t>
      </w:r>
      <w:r>
        <w:rPr>
          <w:rFonts w:ascii="Times New Roman" w:hAnsi="Times New Roman" w:eastAsia="Times New Roman"/>
          <w:sz w:val="24"/>
          <w:szCs w:val="24"/>
          <w:lang w:eastAsia="hr-HR"/>
        </w:rPr>
        <w:t xml:space="preserve"> rade u vremenu od 07.</w:t>
      </w:r>
      <w:r>
        <w:rPr>
          <w:rFonts w:ascii="Times New Roman" w:hAnsi="Times New Roman" w:eastAsia="Times New Roman"/>
          <w:sz w:val="24"/>
          <w:szCs w:val="24"/>
          <w:vertAlign w:val="superscript"/>
          <w:lang w:eastAsia="hr-HR"/>
        </w:rPr>
        <w:t>00</w:t>
      </w:r>
      <w:r>
        <w:rPr>
          <w:rFonts w:ascii="Times New Roman" w:hAnsi="Times New Roman" w:eastAsia="Times New Roman"/>
          <w:sz w:val="24"/>
          <w:szCs w:val="24"/>
          <w:lang w:eastAsia="hr-HR"/>
        </w:rPr>
        <w:t xml:space="preserve"> sati do 19.</w:t>
      </w:r>
      <w:r>
        <w:rPr>
          <w:rFonts w:ascii="Times New Roman" w:hAnsi="Times New Roman" w:eastAsia="Times New Roman"/>
          <w:sz w:val="24"/>
          <w:szCs w:val="24"/>
          <w:vertAlign w:val="superscript"/>
          <w:lang w:eastAsia="hr-HR"/>
        </w:rPr>
        <w:t>00</w:t>
      </w:r>
      <w:r>
        <w:rPr>
          <w:rFonts w:ascii="Times New Roman" w:hAnsi="Times New Roman" w:eastAsia="Times New Roman"/>
          <w:sz w:val="24"/>
          <w:szCs w:val="24"/>
          <w:lang w:eastAsia="hr-HR"/>
        </w:rPr>
        <w:t xml:space="preserve"> sati</w:t>
      </w:r>
    </w:p>
    <w:p>
      <w:pPr>
        <w:spacing w:after="0" w:line="240" w:lineRule="auto"/>
        <w:ind w:left="709"/>
        <w:jc w:val="both"/>
        <w:rPr>
          <w:rFonts w:ascii="Times New Roman" w:hAnsi="Times New Roman" w:eastAsia="Times New Roman"/>
          <w:sz w:val="24"/>
          <w:szCs w:val="24"/>
          <w:lang w:eastAsia="hr-HR"/>
        </w:rPr>
      </w:pPr>
      <w:r>
        <w:rPr>
          <w:rFonts w:ascii="Times New Roman" w:hAnsi="Times New Roman" w:eastAsia="Times New Roman"/>
          <w:b/>
          <w:sz w:val="24"/>
          <w:szCs w:val="24"/>
          <w:lang w:eastAsia="hr-HR"/>
        </w:rPr>
        <w:tab/>
      </w:r>
      <w:r>
        <w:rPr>
          <w:rFonts w:ascii="Times New Roman" w:hAnsi="Times New Roman" w:eastAsia="Times New Roman"/>
          <w:sz w:val="24"/>
          <w:szCs w:val="24"/>
          <w:lang w:eastAsia="hr-HR"/>
        </w:rPr>
        <w:t>Vidikovac (098/393 816)</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Grad Stari Grad ovim Planom regulira pitanja protupožarne zaštite na području Grada Staroga Grada, koordinirajući sve radnje s DVD-om Stari Grad, Komunalno Stari Grad d.o.o., Šumarijom Hvar i Turističkom zajednicom Grada Staroga Grada.</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Zbog posebne sigurnosti glede objekata, opreme i sirovina (propan-butan plin) prodavaonice plina u objektu na ulazu u Stari Grad kod Vinarije, te ispred zgrade Tommy u gradskoj luci (trajektno pristanište) potrebno je zatražiti od nadležnih državnih tijela obavljanje redovnih inspekcijskih pregleda i nadzora u poslovima zaštite od požara te da, sukladno ovlastima i propisima, izdaju odgovarajuće naloge vlasniku i/ili upravi prema kojima će isti biti dužni izvršiti sve svoje obveze kako ne bi došlo do nastanka ili širenja požara na tom prostoru. Sukladno odredbama Zakona o zaštiti od požara, tvrtka je dužna uspostaviti cjelodnevno čuvanje objekta te spriječiti neovlašteni ulaz bez nadzora, o kojoj obvezi će biti posebno obavješteni.</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7. </w:t>
      </w:r>
      <w:r>
        <w:rPr>
          <w:rFonts w:ascii="Times New Roman" w:hAnsi="Times New Roman" w:eastAsia="Times New Roman"/>
          <w:sz w:val="24"/>
          <w:szCs w:val="24"/>
          <w:lang w:eastAsia="hr-HR"/>
        </w:rPr>
        <w:tab/>
      </w:r>
      <w:r>
        <w:rPr>
          <w:rStyle w:val="19"/>
          <w:rFonts w:ascii="Times New Roman" w:hAnsi="Times New Roman"/>
          <w:sz w:val="24"/>
          <w:szCs w:val="24"/>
        </w:rPr>
        <w:t>Putem komunalnog redarstva Grada Starog grada utvrditi tzv. divlja odlagališta otpada, i povremenom kontrolom ustanovljavati novonastala divlja odlagališta otpada, i sukladno financijskim mogućnostima Grada Starog Grada ista sanirati</w:t>
      </w:r>
      <w:r>
        <w:rPr>
          <w:rFonts w:ascii="Times New Roman" w:hAnsi="Times New Roman" w:eastAsia="Times New Roman"/>
          <w:sz w:val="24"/>
          <w:szCs w:val="24"/>
          <w:lang w:eastAsia="hr-HR"/>
        </w:rPr>
        <w:t>.</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Izvršitelj zadatka: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HR šume d.o.o.,gradonačelnik, </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Rok provedbe:</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kontinuirano</w:t>
      </w:r>
    </w:p>
    <w:p>
      <w:pPr>
        <w:spacing w:after="0" w:line="240" w:lineRule="auto"/>
        <w:ind w:left="1416" w:hanging="707"/>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8.</w:t>
      </w:r>
      <w:r>
        <w:rPr>
          <w:rFonts w:ascii="Times New Roman" w:hAnsi="Times New Roman" w:eastAsia="Times New Roman"/>
          <w:sz w:val="24"/>
          <w:szCs w:val="24"/>
          <w:lang w:eastAsia="hr-HR"/>
        </w:rPr>
        <w:tab/>
      </w:r>
      <w:r>
        <w:rPr>
          <w:rFonts w:ascii="Times New Roman" w:hAnsi="Times New Roman"/>
          <w:sz w:val="24"/>
          <w:szCs w:val="24"/>
        </w:rPr>
        <w:t xml:space="preserve">Dovesti u ispravno stanje postojeće hidrante na vodovodnim trasama područja Grada, a prvenstveno osigurati ispravne hidrante u svim naseljima na području Grada. Omogućiti pristup istima, trase i mjesta vodozahvata unijeti iz popisa u zemljovide mjerila M 1:25000 te ih obilježiti na terenu pripadajućim znakovljem. </w:t>
      </w:r>
      <w:r>
        <w:rPr>
          <w:rFonts w:ascii="Times New Roman" w:hAnsi="Times New Roman" w:eastAsia="Times New Roman"/>
          <w:sz w:val="24"/>
          <w:szCs w:val="24"/>
          <w:lang w:eastAsia="hr-HR"/>
        </w:rPr>
        <w:t>Od vlasnika objekata i tvrtke “Hvarski vodovod” d.o.o. Jelsa traži se da, u skladu sa odredbama Zakona o zaštiti od požara i odgovarajućim podzakonskim aktima, osposobe i trajno drže u ispravnom stanju sve vanjske hidrante na području Grada Staroga Grada. Navedene priključke potrebno je učiniti dostupnima članovima vatrogasnih postrojbi te tehničkim vozilima.</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O pregledu hidranata te utvrđenom stanju, izvršitelj zadaće je dužan izvijestiti Gradonačelnika Grada Starog Grada.</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"Hvarski vodovod" d.o.o. Jelsa dužan je, u dane povećanog indeksa opasnosti od nastanka i širenja požara, osigurati danonoćno dežurstvo dispečera koji može regulacijom pritiska vode na opožarenom području omogućiti dovoljan dotok vode bez zastoja za korištenje hidranata i drugih vodo zahvata prilikom vatrogasne intervencije.</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Izvršitelj zadatka:</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"Hvarski vodovod" d.o.o. Jelsa </w:t>
      </w:r>
    </w:p>
    <w:p>
      <w:pPr>
        <w:spacing w:after="0" w:line="240" w:lineRule="auto"/>
        <w:ind w:left="1416"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DVD Stari Grad </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Rok provedbe: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kontinuirano </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9.</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Hrvatska elektroprivreda d.d. i Hrvatski operator prijenosnog sustava d.o.o. obvezan je u okviru svojih nadležnosti u elektroenergetskim građevinama planirati, organizirati, tretirati i čistiti prostor od lakozapaljivih tvari koje bi  mogle izazvati požar i omogućiti njegovo širenje, a u trasama nadzemnih elektroenergetskih vodova održavati sigurnosne visine i udaljenosti odnosno provoditi šumski red.</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Izvršitelj zadatka:</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„HEP" d.d. i HEP-ODS" d.o.o.</w:t>
      </w:r>
    </w:p>
    <w:p>
      <w:pPr>
        <w:spacing w:after="0" w:line="240" w:lineRule="auto"/>
        <w:ind w:left="1416"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DVD Stari Grad </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Rok provedbe: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kontinuirano </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10.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Potrebno je izraditi popis i zemljovide vrijednih šuma po stupnjevima opasnosti od šumskog požara sukladno Pravilniku o zaštiti šuma od požara („Narodne novine“, broj 33/14). Planski definirati trajne preventivne aktivnosti u smislu izgradnje protupožarnih prosjeka s elementima šumske ceste, a  u skladu sa Zakonom o šumama i šumskogospodarskim planovima.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Izvršitelj zadatka:</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"Hrvatske šume" d.o.o.  Zagreb PJ Split – šumarija Hvar,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JLP(R)S, Ministarstvo poljoprivrede, Vatrogasne zajednice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Županija</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15. ožujka 2022. godine.</w:t>
      </w:r>
    </w:p>
    <w:p>
      <w:pPr>
        <w:spacing w:after="0" w:line="240" w:lineRule="auto"/>
        <w:jc w:val="both"/>
        <w:rPr>
          <w:rFonts w:ascii="Times New Roman" w:hAnsi="Times New Roman" w:eastAsia="Times New Roman"/>
          <w:sz w:val="24"/>
          <w:szCs w:val="24"/>
          <w:lang w:eastAsia="hr-HR"/>
        </w:rPr>
      </w:pPr>
    </w:p>
    <w:p>
      <w:pPr>
        <w:jc w:val="both"/>
        <w:rPr>
          <w:rFonts w:ascii="Times New Roman" w:hAnsi="Times New Roman"/>
          <w:sz w:val="24"/>
          <w:szCs w:val="24"/>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11. </w:t>
      </w:r>
      <w:r>
        <w:rPr>
          <w:rFonts w:ascii="Times New Roman" w:hAnsi="Times New Roman" w:eastAsia="Times New Roman"/>
          <w:sz w:val="24"/>
          <w:szCs w:val="24"/>
          <w:lang w:eastAsia="hr-HR"/>
        </w:rPr>
        <w:tab/>
      </w:r>
      <w:r>
        <w:rPr>
          <w:rFonts w:ascii="Times New Roman" w:hAnsi="Times New Roman"/>
          <w:sz w:val="24"/>
          <w:szCs w:val="24"/>
        </w:rPr>
        <w:t>Na području Grada Staroga Grada ima oko 4.500 ha površine obrasle šumom i makijom. Navedene površine su većim dijelom u privatnom vlasništvu, a čestice Hrvatskih šuma su razasute na cijelom tom području u obliku saća.</w:t>
      </w:r>
    </w:p>
    <w:p>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Motrilačko-dojavnu službu bi trebalo postaviti na najvišim vrhovima područja Grada, odnosno na vrhove Glavica, Starač, Budinjac i sl., ali nažalost, zbog njihove male visine i obraslosti područja, sa istih je slaba vidljivost. Bolja vidljivost je sa promatračnice "Sv. Nikola " te ophodarskih mjesta: Vidikovac, Hum-Vratnik i Zakaštil, a što je pokriveno Planom „Hrvatskih šuma“.</w:t>
      </w:r>
    </w:p>
    <w:p>
      <w:pPr>
        <w:shd w:val="clear" w:color="auto" w:fill="FFFFFF"/>
        <w:spacing w:before="180"/>
        <w:ind w:left="22" w:right="29"/>
        <w:jc w:val="both"/>
        <w:rPr>
          <w:rFonts w:ascii="Times New Roman" w:hAnsi="Times New Roman"/>
          <w:sz w:val="24"/>
          <w:szCs w:val="24"/>
        </w:rPr>
      </w:pPr>
      <w:r>
        <w:rPr>
          <w:rFonts w:ascii="Times New Roman" w:hAnsi="Times New Roman"/>
          <w:sz w:val="24"/>
          <w:szCs w:val="24"/>
        </w:rPr>
        <w:t xml:space="preserve">Dana 15. lipnja 2014. na vodospremi „Budinjac“ na brdu Budinjac postavljena je video kamera za nadzor požara. Video nadzor je povezan sa prostorijom DVD-a Stari Grad iz koje se njome može upravljati – pomicati je i zumirati. </w:t>
      </w:r>
    </w:p>
    <w:p>
      <w:pPr>
        <w:shd w:val="clear" w:color="auto" w:fill="FFFFFF"/>
        <w:spacing w:before="180"/>
        <w:ind w:left="22" w:right="29"/>
        <w:jc w:val="both"/>
        <w:rPr>
          <w:rFonts w:ascii="Times New Roman" w:hAnsi="Times New Roman"/>
          <w:sz w:val="24"/>
          <w:szCs w:val="24"/>
        </w:rPr>
      </w:pPr>
      <w:r>
        <w:rPr>
          <w:rFonts w:ascii="Times New Roman" w:hAnsi="Times New Roman"/>
          <w:sz w:val="24"/>
          <w:szCs w:val="24"/>
        </w:rPr>
        <w:t>Video nadzorom je pokriven veći dio područja Grada Staroga Grada (poluotok Kabal, Grad, odlagalište komunalnog otpada i veći dio Starogradskog polja)</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Plan i raspored obavljanja službe utvrđuje Grad Stari Grad i "Hrvatske šume" d.o.o. Zagreb PJ Split</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Izvršitelji zadatka:</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 Grad Stari Grad</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Sudionici: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 DVD-a Grada Starog Grada</w:t>
      </w:r>
    </w:p>
    <w:p>
      <w:pPr>
        <w:spacing w:after="0" w:line="240" w:lineRule="auto"/>
        <w:ind w:left="1416"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"Hrvatske šume" d.o.o.. Zagreb PJ Split</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31. ožujka 2022. godine</w:t>
      </w:r>
    </w:p>
    <w:p>
      <w:pPr>
        <w:spacing w:after="0" w:line="240" w:lineRule="auto"/>
        <w:jc w:val="both"/>
        <w:rPr>
          <w:rFonts w:ascii="Times New Roman" w:hAnsi="Times New Roman" w:eastAsia="Times New Roman"/>
          <w:sz w:val="24"/>
          <w:szCs w:val="24"/>
          <w:lang w:eastAsia="hr-HR"/>
        </w:rPr>
      </w:pPr>
    </w:p>
    <w:p>
      <w:pPr>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12.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Za zaustavljanje širenja velikih i katastrofalnih požara angažira se, na zahtjev nadležnog zapovjednika, teška građevinska mehanizacija. Vatrogasni zapovjednik određuje nadnevak, vrijeme, mjesto, količinu i vrstu mehanizacije te, prema pravilima struke, određuje poslove koje je potrebno obaviti. Preporuča se angažirati pravne ili fizičke osobe sa sjedištem odnosno prebivalištem na području Grada Staroga Grada odnosno pravne ili fizičke osobe borave odnosno prebivaju na području neposredno do požarišta. Ako se odgovarajuća teška građevinska mehanizacija u potrebnom trenutku već nalazi na nekom ugovorenom poslu čije bi neizvršavanje nanijelo vlasniku/investitoru veću štetu, moguće je angažiranje druge pravne ili fizičke osobe koja posjeduju odgovarajuću mehanizacije, a nalaze se na udaljenijem mjestu od požarišta, a sve sukladno dogovoru sa županijskim vatrogasnim zapovjednikom koristeći županijski operativni plan. Naknada troškova uporabe strojeva vlasnicima se plaća prema tržišnoj cijeni sata rada za odgovarajuću vrstu stroja. Vlasnik stroja dovozi na požarište i odvozi s požarišta tešku građevinsku mehanizaciju te osigurava njen žurni prijevoz na druge lokacije, sve uz zapisnik o njenom stanju i radu kojeg ovjerava vatrogasni zapovjednik ili od njega ovlaštena osoba. </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Izvršitelj zadatka:</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Gradonačelnik, Vatrogasni zapovjednik područja </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Sudionici:</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"Hrvatske šume" d.o.o. Zagreb PJ Split – Šumarija Hvar</w:t>
      </w:r>
    </w:p>
    <w:p>
      <w:pPr>
        <w:spacing w:after="0" w:line="240" w:lineRule="auto"/>
        <w:ind w:left="708"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DVD Stari Grad</w:t>
      </w:r>
    </w:p>
    <w:p>
      <w:pPr>
        <w:pStyle w:val="14"/>
        <w:ind w:left="2832" w:firstLine="3"/>
        <w:rPr>
          <w:rFonts w:ascii="Times New Roman" w:hAnsi="Times New Roman"/>
          <w:sz w:val="24"/>
          <w:szCs w:val="24"/>
        </w:rPr>
      </w:pPr>
      <w:r>
        <w:rPr>
          <w:rFonts w:ascii="Times New Roman" w:hAnsi="Times New Roman"/>
          <w:sz w:val="24"/>
          <w:szCs w:val="24"/>
        </w:rPr>
        <w:t>PRAVNE ODNOSNO FIZIČKE OSOBE koje posjeduju tešku građevinsku mehanizaciju, a nalaze se na području Grada Staroga Grada</w:t>
      </w:r>
      <w:bookmarkStart w:id="0" w:name="7"/>
      <w:bookmarkEnd w:id="0"/>
      <w:bookmarkStart w:id="1" w:name="6"/>
      <w:bookmarkEnd w:id="1"/>
    </w:p>
    <w:p>
      <w:pPr>
        <w:pStyle w:val="14"/>
        <w:ind w:left="2832" w:hanging="2123"/>
        <w:rPr>
          <w:rFonts w:ascii="Times New Roman" w:hAnsi="Times New Roman"/>
          <w:sz w:val="24"/>
          <w:szCs w:val="24"/>
        </w:rPr>
      </w:pP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31. ožujka 2022.</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13.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Utvrđuje se da zbog postojeće strukture vlasništva nad šumama, rasprostranjenosti i vrste šuma, konfiguracije terena, kao i s obzirom na već postojeće lokalne putove te protupožarne i šumske prosjeke, odnosno zbog opsega dosadašnje opožarenosti otvorenog prostora, stanje na području Grada Staroga Grada glede protupožarnih prosjeka i šumskih putova je zadovoljavajuće. Međutim,  postojeće putove potrebno je očistiti, a na prosjekama obaviti spaljivanje korova. Također je potrebo postojeće putove i šumske prosjeke ucrtati u odgovarajuće zemljovide ili koristiti panoramske fotografije poradi primjene pri vatrogasnim intervencijama.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Vlasnici i korisnici neuređenog zemljišta su dužni urediti sigurnosne i zaštitne pojaseve oko svog zemljišta te ga redovito držati urednim i opremljenim priručnim sredstvima za gašenje požara (voda, pijesak i sl.). O navedenoj dužnosti isti će biti obavješteni putem letaka, plakata i objavama na mrežnim stranicama Grada Staroga Grada.  </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Vlasnici gospodarskih objekata su dužni, zbog izrastanja trave i korova koji sušenjem brzo prenose vatru, čišćenjem prostora provesti aktivnosti na samozaštiti svojih zemljišta i objekata od požara. Ove radnje nadzirati će Komunalno Stari Grad d.o.o. u suradnji sa komunalnim redarstvom Grada Staroga Grada.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Pri održavanju otvorenog prostora potrebno je primijeniti odgovarajuće agrotehničke mjere sprječavanja zakorovljenosti, uzgoja bilja sa što manje biljnog otpada, korištenja i uklanjanja biljnih otpadaka, zamjene smolastih biljaka drugim vrstama nasada i druge preventivno uzgojne radove.</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Uređivanje i održavanje poljoprivrednih rudina vrši se čišćenjem poljskih putova, sadnjom vazdazelenih živica, uređivanjem kanala, bunara za navodnjavanje, sadnjom ostalih nasada i održavanjem vjetrobranih pojaseva. </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Vlasnici poljoprivrednih površina dužni su ukloniti osušene i opožarene biljne ostatke te ih deponirati na prostore koji su zaštićeni od nastanka ili širenja požara, a ako ih uništavaju paljenjem dužni su takve radnje prijaviti lokalnom DVD-u i obvezno osigurati asistenciju njihovih vatrogasaca.</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DVD Stari Grad vodi evidenciju o stanju prohodnosti protupožarnih prosjeka i putova i ažurira ih do početka požarne sezone, a vatrogasni zapovjednik područja i komunalno redarstvo nadziru njihovo stanje prije i tijekom ljetne požarne sezone.</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Izvršitelj zadatka:</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Gradonačelnik Grada Starog Grada (Jedinstveni upravni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odjel)</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Sudionici:</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DVD Starog Grada </w:t>
      </w:r>
    </w:p>
    <w:p>
      <w:pPr>
        <w:spacing w:after="0" w:line="240" w:lineRule="auto"/>
        <w:ind w:left="1416"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"Hrvatske šume" d.o.o. Zagreb PJ Split – Šumarija Hvar </w:t>
      </w:r>
    </w:p>
    <w:p>
      <w:pPr>
        <w:spacing w:after="0" w:line="240" w:lineRule="auto"/>
        <w:ind w:left="1416"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Vlasnici/korisnici neuređenog zemljišta</w:t>
      </w:r>
    </w:p>
    <w:p>
      <w:pPr>
        <w:spacing w:after="0" w:line="240" w:lineRule="auto"/>
        <w:ind w:left="1416"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Vlasnici gospodarskih objekata</w:t>
      </w:r>
    </w:p>
    <w:p>
      <w:pPr>
        <w:spacing w:after="0" w:line="240" w:lineRule="auto"/>
        <w:ind w:left="1416"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30. travnja  2022. godine uz kontinuirani nadzor</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14. Na području Grada Staroga Grada tijekom 2022. godine održavaju se slijedeće šumske ceste i prosjeci: </w:t>
      </w:r>
    </w:p>
    <w:p>
      <w:pPr>
        <w:spacing w:after="0" w:line="240" w:lineRule="auto"/>
        <w:jc w:val="both"/>
        <w:rPr>
          <w:rFonts w:ascii="Times New Roman" w:hAnsi="Times New Roman" w:eastAsia="Times New Roman"/>
          <w:sz w:val="24"/>
          <w:szCs w:val="24"/>
          <w:lang w:eastAsia="hr-HR"/>
        </w:rPr>
      </w:pPr>
    </w:p>
    <w:p>
      <w:pPr>
        <w:numPr>
          <w:ilvl w:val="0"/>
          <w:numId w:val="5"/>
        </w:numPr>
        <w:spacing w:after="0" w:line="240" w:lineRule="auto"/>
        <w:ind w:firstLine="169"/>
        <w:contextualSpacing/>
        <w:jc w:val="both"/>
        <w:rPr>
          <w:rFonts w:ascii="Times New Roman" w:hAnsi="Times New Roman"/>
          <w:sz w:val="24"/>
          <w:szCs w:val="24"/>
          <w:lang w:eastAsia="hr-HR"/>
        </w:rPr>
      </w:pPr>
      <w:r>
        <w:rPr>
          <w:rFonts w:ascii="Times New Roman" w:hAnsi="Times New Roman"/>
          <w:sz w:val="24"/>
          <w:szCs w:val="24"/>
          <w:lang w:eastAsia="hr-HR"/>
        </w:rPr>
        <w:t>Tematski putovi kroz Starogradsko polje, koji vode do arheoloških lokaliteta:</w:t>
      </w:r>
    </w:p>
    <w:p>
      <w:pPr>
        <w:ind w:left="900"/>
        <w:contextualSpacing/>
        <w:jc w:val="both"/>
        <w:rPr>
          <w:rFonts w:ascii="Times New Roman" w:hAnsi="Times New Roman"/>
          <w:sz w:val="24"/>
          <w:szCs w:val="24"/>
          <w:lang w:eastAsia="hr-HR"/>
        </w:rPr>
      </w:pPr>
      <w:r>
        <w:rPr>
          <w:rFonts w:ascii="Times New Roman" w:hAnsi="Times New Roman"/>
          <w:sz w:val="24"/>
          <w:szCs w:val="24"/>
          <w:lang w:eastAsia="hr-HR"/>
        </w:rPr>
        <w:tab/>
      </w:r>
      <w:r>
        <w:rPr>
          <w:rFonts w:ascii="Times New Roman" w:hAnsi="Times New Roman"/>
          <w:sz w:val="24"/>
          <w:szCs w:val="24"/>
          <w:lang w:eastAsia="hr-HR"/>
        </w:rPr>
        <w:t>makadamski put:</w:t>
      </w:r>
      <w:r>
        <w:rPr>
          <w:rFonts w:ascii="Times New Roman" w:hAnsi="Times New Roman"/>
          <w:sz w:val="24"/>
          <w:szCs w:val="24"/>
          <w:lang w:eastAsia="hr-HR"/>
        </w:rPr>
        <w:tab/>
      </w:r>
    </w:p>
    <w:p>
      <w:pPr>
        <w:tabs>
          <w:tab w:val="left" w:pos="1843"/>
        </w:tabs>
        <w:ind w:left="900" w:firstLine="518"/>
        <w:contextualSpacing/>
        <w:jc w:val="both"/>
        <w:rPr>
          <w:rFonts w:ascii="Times New Roman" w:hAnsi="Times New Roman"/>
          <w:sz w:val="24"/>
          <w:szCs w:val="24"/>
          <w:lang w:eastAsia="hr-HR"/>
        </w:rPr>
      </w:pPr>
      <w:r>
        <w:rPr>
          <w:rFonts w:ascii="Times New Roman" w:hAnsi="Times New Roman"/>
          <w:sz w:val="24"/>
          <w:szCs w:val="24"/>
          <w:lang w:eastAsia="hr-HR"/>
        </w:rPr>
        <w:t xml:space="preserve">- </w:t>
      </w:r>
      <w:r>
        <w:rPr>
          <w:rFonts w:ascii="Times New Roman" w:hAnsi="Times New Roman"/>
          <w:sz w:val="24"/>
          <w:szCs w:val="24"/>
          <w:lang w:eastAsia="hr-HR"/>
        </w:rPr>
        <w:tab/>
      </w:r>
      <w:r>
        <w:rPr>
          <w:rFonts w:ascii="Times New Roman" w:hAnsi="Times New Roman"/>
          <w:sz w:val="24"/>
          <w:szCs w:val="24"/>
          <w:lang w:eastAsia="hr-HR"/>
        </w:rPr>
        <w:t>od glavne trafostanice do Igrališča (iza letjelišta),</w:t>
      </w:r>
    </w:p>
    <w:p>
      <w:pPr>
        <w:tabs>
          <w:tab w:val="left" w:pos="1843"/>
        </w:tabs>
        <w:ind w:left="900" w:firstLine="518"/>
        <w:contextualSpacing/>
        <w:jc w:val="both"/>
        <w:rPr>
          <w:rFonts w:ascii="Times New Roman" w:hAnsi="Times New Roman"/>
          <w:sz w:val="24"/>
          <w:szCs w:val="24"/>
          <w:lang w:eastAsia="hr-HR"/>
        </w:rPr>
      </w:pPr>
      <w:r>
        <w:rPr>
          <w:rFonts w:ascii="Times New Roman" w:hAnsi="Times New Roman"/>
          <w:sz w:val="24"/>
          <w:szCs w:val="24"/>
          <w:lang w:eastAsia="hr-HR"/>
        </w:rPr>
        <w:t xml:space="preserve">- </w:t>
      </w:r>
      <w:r>
        <w:rPr>
          <w:rFonts w:ascii="Times New Roman" w:hAnsi="Times New Roman"/>
          <w:sz w:val="24"/>
          <w:szCs w:val="24"/>
          <w:lang w:eastAsia="hr-HR"/>
        </w:rPr>
        <w:tab/>
      </w:r>
      <w:r>
        <w:rPr>
          <w:rFonts w:ascii="Times New Roman" w:hAnsi="Times New Roman"/>
          <w:sz w:val="24"/>
          <w:szCs w:val="24"/>
          <w:lang w:eastAsia="hr-HR"/>
        </w:rPr>
        <w:t>od Sv. Jeline kroz Moče prema Dugoj njivi,</w:t>
      </w:r>
    </w:p>
    <w:p>
      <w:pPr>
        <w:tabs>
          <w:tab w:val="left" w:pos="1843"/>
        </w:tabs>
        <w:ind w:left="900" w:firstLine="518"/>
        <w:contextualSpacing/>
        <w:jc w:val="both"/>
        <w:rPr>
          <w:rFonts w:ascii="Times New Roman" w:hAnsi="Times New Roman"/>
          <w:sz w:val="24"/>
          <w:szCs w:val="24"/>
          <w:lang w:eastAsia="hr-HR"/>
        </w:rPr>
      </w:pPr>
      <w:r>
        <w:rPr>
          <w:rFonts w:ascii="Times New Roman" w:hAnsi="Times New Roman"/>
          <w:sz w:val="24"/>
          <w:szCs w:val="24"/>
          <w:lang w:eastAsia="hr-HR"/>
        </w:rPr>
        <w:t xml:space="preserve">- </w:t>
      </w:r>
      <w:r>
        <w:rPr>
          <w:rFonts w:ascii="Times New Roman" w:hAnsi="Times New Roman"/>
          <w:sz w:val="24"/>
          <w:szCs w:val="24"/>
          <w:lang w:eastAsia="hr-HR"/>
        </w:rPr>
        <w:tab/>
      </w:r>
      <w:r>
        <w:rPr>
          <w:rFonts w:ascii="Times New Roman" w:hAnsi="Times New Roman"/>
          <w:sz w:val="24"/>
          <w:szCs w:val="24"/>
          <w:lang w:eastAsia="hr-HR"/>
        </w:rPr>
        <w:t>od letjelišta mimo Dračevice do puta za Maslinovik,</w:t>
      </w:r>
    </w:p>
    <w:p>
      <w:pPr>
        <w:tabs>
          <w:tab w:val="left" w:pos="1843"/>
        </w:tabs>
        <w:ind w:left="900" w:firstLine="518"/>
        <w:contextualSpacing/>
        <w:jc w:val="both"/>
        <w:rPr>
          <w:rFonts w:ascii="Times New Roman" w:hAnsi="Times New Roman"/>
          <w:sz w:val="24"/>
          <w:szCs w:val="24"/>
          <w:lang w:eastAsia="hr-HR"/>
        </w:rPr>
      </w:pPr>
      <w:r>
        <w:rPr>
          <w:rFonts w:ascii="Times New Roman" w:hAnsi="Times New Roman"/>
          <w:sz w:val="24"/>
          <w:szCs w:val="24"/>
          <w:lang w:eastAsia="hr-HR"/>
        </w:rPr>
        <w:t xml:space="preserve">- </w:t>
      </w:r>
      <w:r>
        <w:rPr>
          <w:rFonts w:ascii="Times New Roman" w:hAnsi="Times New Roman"/>
          <w:sz w:val="24"/>
          <w:szCs w:val="24"/>
          <w:lang w:eastAsia="hr-HR"/>
        </w:rPr>
        <w:tab/>
      </w:r>
      <w:r>
        <w:rPr>
          <w:rFonts w:ascii="Times New Roman" w:hAnsi="Times New Roman"/>
          <w:sz w:val="24"/>
          <w:szCs w:val="24"/>
          <w:lang w:eastAsia="hr-HR"/>
        </w:rPr>
        <w:t>od Sv. Mihovila mimo Rašnika do puta za Maslinovik i</w:t>
      </w:r>
    </w:p>
    <w:p>
      <w:pPr>
        <w:tabs>
          <w:tab w:val="left" w:pos="1843"/>
        </w:tabs>
        <w:ind w:left="2127" w:hanging="709"/>
        <w:contextualSpacing/>
        <w:jc w:val="both"/>
        <w:rPr>
          <w:rFonts w:ascii="Times New Roman" w:hAnsi="Times New Roman"/>
          <w:sz w:val="24"/>
          <w:szCs w:val="24"/>
          <w:lang w:eastAsia="hr-HR"/>
        </w:rPr>
      </w:pPr>
      <w:r>
        <w:rPr>
          <w:rFonts w:ascii="Times New Roman" w:hAnsi="Times New Roman"/>
          <w:sz w:val="24"/>
          <w:szCs w:val="24"/>
          <w:lang w:eastAsia="hr-HR"/>
        </w:rPr>
        <w:t xml:space="preserve">- </w:t>
      </w:r>
      <w:r>
        <w:rPr>
          <w:rFonts w:ascii="Times New Roman" w:hAnsi="Times New Roman"/>
          <w:sz w:val="24"/>
          <w:szCs w:val="24"/>
          <w:lang w:eastAsia="hr-HR"/>
        </w:rPr>
        <w:tab/>
      </w:r>
      <w:r>
        <w:rPr>
          <w:rFonts w:ascii="Times New Roman" w:hAnsi="Times New Roman"/>
          <w:sz w:val="24"/>
          <w:szCs w:val="24"/>
          <w:lang w:eastAsia="hr-HR"/>
        </w:rPr>
        <w:t>spoj od puta kroz Moče do puta za Dračevicu.</w:t>
      </w:r>
    </w:p>
    <w:p>
      <w:pPr>
        <w:numPr>
          <w:ilvl w:val="0"/>
          <w:numId w:val="5"/>
        </w:numPr>
        <w:spacing w:after="0" w:line="240" w:lineRule="auto"/>
        <w:ind w:firstLine="169"/>
        <w:contextualSpacing/>
        <w:jc w:val="both"/>
        <w:rPr>
          <w:rFonts w:ascii="Times New Roman" w:hAnsi="Times New Roman"/>
          <w:sz w:val="24"/>
          <w:szCs w:val="24"/>
          <w:lang w:eastAsia="hr-HR"/>
        </w:rPr>
      </w:pPr>
      <w:r>
        <w:rPr>
          <w:rFonts w:ascii="Times New Roman" w:hAnsi="Times New Roman"/>
          <w:sz w:val="24"/>
          <w:szCs w:val="24"/>
          <w:lang w:eastAsia="hr-HR"/>
        </w:rPr>
        <w:t>Putovi koji su u funkciji turizma, korištenja divljih plaža:</w:t>
      </w:r>
    </w:p>
    <w:p>
      <w:pPr>
        <w:ind w:left="900"/>
        <w:contextualSpacing/>
        <w:jc w:val="both"/>
        <w:rPr>
          <w:rFonts w:ascii="Times New Roman" w:hAnsi="Times New Roman"/>
          <w:sz w:val="24"/>
          <w:szCs w:val="24"/>
          <w:lang w:eastAsia="hr-HR"/>
        </w:rPr>
      </w:pPr>
      <w:r>
        <w:rPr>
          <w:rFonts w:ascii="Times New Roman" w:hAnsi="Times New Roman"/>
          <w:sz w:val="24"/>
          <w:szCs w:val="24"/>
          <w:lang w:eastAsia="hr-HR"/>
        </w:rPr>
        <w:tab/>
      </w:r>
      <w:r>
        <w:rPr>
          <w:rFonts w:ascii="Times New Roman" w:hAnsi="Times New Roman"/>
          <w:sz w:val="24"/>
          <w:szCs w:val="24"/>
          <w:lang w:eastAsia="hr-HR"/>
        </w:rPr>
        <w:t>makadamski put:</w:t>
      </w:r>
    </w:p>
    <w:p>
      <w:pPr>
        <w:ind w:left="1843" w:hanging="425"/>
        <w:contextualSpacing/>
        <w:jc w:val="both"/>
        <w:rPr>
          <w:rFonts w:ascii="Times New Roman" w:hAnsi="Times New Roman"/>
          <w:sz w:val="24"/>
          <w:szCs w:val="24"/>
          <w:lang w:eastAsia="hr-HR"/>
        </w:rPr>
      </w:pPr>
      <w:r>
        <w:rPr>
          <w:rFonts w:ascii="Times New Roman" w:hAnsi="Times New Roman"/>
          <w:sz w:val="24"/>
          <w:szCs w:val="24"/>
          <w:lang w:eastAsia="hr-HR"/>
        </w:rPr>
        <w:t xml:space="preserve">- </w:t>
      </w:r>
      <w:r>
        <w:rPr>
          <w:rFonts w:ascii="Times New Roman" w:hAnsi="Times New Roman"/>
          <w:sz w:val="24"/>
          <w:szCs w:val="24"/>
          <w:lang w:eastAsia="hr-HR"/>
        </w:rPr>
        <w:tab/>
      </w:r>
      <w:r>
        <w:rPr>
          <w:rFonts w:ascii="Times New Roman" w:hAnsi="Times New Roman"/>
          <w:sz w:val="24"/>
          <w:szCs w:val="24"/>
          <w:lang w:eastAsia="hr-HR"/>
        </w:rPr>
        <w:t>iznad hotela do asfalta u "Vrata  Kabla“ na poluotoku Kabal,</w:t>
      </w:r>
    </w:p>
    <w:p>
      <w:pPr>
        <w:pStyle w:val="10"/>
        <w:numPr>
          <w:ilvl w:val="0"/>
          <w:numId w:val="5"/>
        </w:numPr>
        <w:ind w:firstLine="169"/>
        <w:jc w:val="both"/>
        <w:rPr>
          <w:rFonts w:ascii="Times New Roman" w:hAnsi="Times New Roman"/>
          <w:sz w:val="24"/>
          <w:szCs w:val="24"/>
          <w:lang w:eastAsia="hr-HR"/>
        </w:rPr>
      </w:pPr>
      <w:r>
        <w:rPr>
          <w:rFonts w:ascii="Times New Roman" w:hAnsi="Times New Roman"/>
          <w:sz w:val="24"/>
          <w:szCs w:val="24"/>
          <w:lang w:eastAsia="hr-HR"/>
        </w:rPr>
        <w:t>Šumski protupožarni putevi</w:t>
      </w:r>
    </w:p>
    <w:p>
      <w:pPr>
        <w:pStyle w:val="10"/>
        <w:numPr>
          <w:ilvl w:val="1"/>
          <w:numId w:val="5"/>
        </w:numPr>
        <w:ind w:firstLine="158"/>
        <w:jc w:val="both"/>
        <w:rPr>
          <w:rFonts w:ascii="Times New Roman" w:hAnsi="Times New Roman"/>
          <w:sz w:val="24"/>
          <w:szCs w:val="24"/>
          <w:lang w:eastAsia="hr-HR"/>
        </w:rPr>
      </w:pPr>
      <w:r>
        <w:rPr>
          <w:rFonts w:ascii="Times New Roman" w:hAnsi="Times New Roman"/>
          <w:sz w:val="24"/>
          <w:szCs w:val="24"/>
          <w:lang w:eastAsia="hr-HR"/>
        </w:rPr>
        <w:t>od crkve u Dolu prema vrhu Sv. Nikole</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Ukupno 15 km šumskih cesta i protupožarnih putova /prohodnih/.</w:t>
      </w:r>
    </w:p>
    <w:p>
      <w:pPr>
        <w:spacing w:after="0" w:line="240" w:lineRule="auto"/>
        <w:jc w:val="both"/>
        <w:rPr>
          <w:rFonts w:ascii="Times New Roman" w:hAnsi="Times New Roman" w:eastAsia="Times New Roman"/>
          <w:sz w:val="24"/>
          <w:szCs w:val="24"/>
          <w:lang w:eastAsia="hr-HR"/>
        </w:rPr>
      </w:pP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Izvršitelji:</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"Hrvatske šume" d.o.o. Zagreb PJ Split – Šumarija Hvar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Hrvatska</w:t>
      </w:r>
    </w:p>
    <w:p>
      <w:pPr>
        <w:pStyle w:val="14"/>
        <w:rPr>
          <w:rFonts w:ascii="Times New Roman" w:hAnsi="Times New Roman"/>
          <w:sz w:val="24"/>
          <w:szCs w:val="24"/>
        </w:rPr>
      </w:pPr>
      <w:r>
        <w:rPr>
          <w:rFonts w:ascii="Times New Roman" w:hAnsi="Times New Roman" w:eastAsia="Times New Roman"/>
          <w:sz w:val="24"/>
          <w:szCs w:val="24"/>
          <w:lang w:eastAsia="hr-HR"/>
        </w:rPr>
        <w:t xml:space="preserve">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sz w:val="24"/>
          <w:szCs w:val="24"/>
        </w:rPr>
        <w:t>Najpovoljniji ponuditelj sukladno Javnom pozivu</w:t>
      </w:r>
    </w:p>
    <w:p>
      <w:pPr>
        <w:ind w:left="714" w:firstLine="702"/>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DVD- Stari Grad</w:t>
      </w:r>
    </w:p>
    <w:p>
      <w:pPr>
        <w:spacing w:after="0" w:line="240" w:lineRule="auto"/>
        <w:ind w:firstLine="708"/>
        <w:jc w:val="both"/>
        <w:rPr>
          <w:rFonts w:ascii="Times New Roman" w:hAnsi="Times New Roman" w:eastAsia="Times New Roman"/>
          <w:sz w:val="24"/>
          <w:szCs w:val="24"/>
          <w:lang w:eastAsia="hr-HR"/>
        </w:rPr>
      </w:pPr>
    </w:p>
    <w:p>
      <w:pPr>
        <w:tabs>
          <w:tab w:val="left" w:pos="2127"/>
        </w:tabs>
        <w:spacing w:after="0" w:line="240" w:lineRule="auto"/>
        <w:ind w:firstLine="709"/>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Sudionici: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Gradonačelnik </w:t>
      </w:r>
    </w:p>
    <w:p>
      <w:pPr>
        <w:spacing w:after="0" w:line="240" w:lineRule="auto"/>
        <w:ind w:left="1416" w:hanging="707"/>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15. travnja svake planske godine.</w:t>
      </w:r>
    </w:p>
    <w:p>
      <w:pPr>
        <w:spacing w:after="0" w:line="240" w:lineRule="auto"/>
        <w:ind w:left="1416" w:firstLine="708"/>
        <w:jc w:val="both"/>
        <w:rPr>
          <w:rFonts w:ascii="Times New Roman" w:hAnsi="Times New Roman" w:eastAsia="Times New Roman"/>
          <w:sz w:val="24"/>
          <w:szCs w:val="24"/>
          <w:lang w:eastAsia="hr-HR"/>
        </w:rPr>
      </w:pPr>
    </w:p>
    <w:p>
      <w:pPr>
        <w:pStyle w:val="2"/>
        <w:rPr>
          <w:sz w:val="24"/>
          <w:szCs w:val="24"/>
        </w:rPr>
      </w:pPr>
      <w:r>
        <w:rPr>
          <w:sz w:val="24"/>
          <w:szCs w:val="24"/>
        </w:rPr>
        <w:tab/>
      </w:r>
      <w:r>
        <w:rPr>
          <w:b w:val="0"/>
          <w:sz w:val="24"/>
          <w:szCs w:val="24"/>
        </w:rPr>
        <w:t xml:space="preserve">15. </w:t>
      </w:r>
      <w:r>
        <w:rPr>
          <w:b w:val="0"/>
          <w:sz w:val="24"/>
          <w:szCs w:val="24"/>
        </w:rPr>
        <w:tab/>
      </w:r>
      <w:r>
        <w:rPr>
          <w:b w:val="0"/>
          <w:sz w:val="24"/>
          <w:szCs w:val="24"/>
        </w:rPr>
        <w:t>Po potrebi sudjelovati na informativnom savjetovanju i dogovaranju s predstavnicima Područni ured civilne zaštite Split, Županijske vatrogasne zajednice.</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Informiranje i edukacija sudionika u zaštiti od požara provoditi će se na području Grada Staroga Grada</w:t>
      </w:r>
    </w:p>
    <w:p>
      <w:pPr>
        <w:spacing w:after="0" w:line="240" w:lineRule="auto"/>
        <w:jc w:val="both"/>
        <w:rPr>
          <w:rFonts w:ascii="Times New Roman" w:hAnsi="Times New Roman" w:eastAsia="Times New Roman"/>
          <w:sz w:val="24"/>
          <w:szCs w:val="24"/>
          <w:lang w:eastAsia="hr-HR"/>
        </w:rPr>
      </w:pPr>
    </w:p>
    <w:p>
      <w:pPr>
        <w:spacing w:after="0" w:line="240" w:lineRule="auto"/>
        <w:ind w:left="2832" w:hanging="2124"/>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Izvršitelj zadatka:</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Gradonačelnik </w:t>
      </w:r>
    </w:p>
    <w:p>
      <w:pPr>
        <w:spacing w:after="0" w:line="240" w:lineRule="auto"/>
        <w:ind w:left="2832" w:hanging="2124"/>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Sudionici:</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DVD Stari Grad</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16.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Zapovjedništvo DVD-a Stari Grad održati će, u suradnji sa Stožerom civilne zaštite sastanak-sjednicu  te razmotriti i analizirati stanje zaštite od požara od početka tekuće godine kao i tijek priprema i provedbe aktivnosti zaštite od požara pred turističku sezonu, sadržan u ovom Planu.</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Profesionalno osoblje i dužnosnici dobrovoljne vatrogasne postrojbe dužni su pri svojim vatrogasnim aktivnostima stalno nositi propisanu i urednu vatrogasnu odoru te ostalu osobnu opremu držati u besprijekornom stanju.</w:t>
      </w:r>
    </w:p>
    <w:p>
      <w:pPr>
        <w:spacing w:after="0" w:line="240" w:lineRule="auto"/>
        <w:jc w:val="both"/>
        <w:rPr>
          <w:rFonts w:ascii="Times New Roman" w:hAnsi="Times New Roman" w:eastAsia="Times New Roman"/>
          <w:sz w:val="24"/>
          <w:szCs w:val="24"/>
          <w:lang w:eastAsia="hr-HR"/>
        </w:rPr>
      </w:pPr>
    </w:p>
    <w:p>
      <w:pPr>
        <w:spacing w:after="0" w:line="240" w:lineRule="auto"/>
        <w:ind w:left="2832" w:hanging="2124"/>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Izvršitelj zadatka:</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Gradonačelnik </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Sudionici:</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DVD Grada Starog Grada i Stožer CZ Starog Grada</w:t>
      </w:r>
    </w:p>
    <w:p>
      <w:pPr>
        <w:spacing w:after="0" w:line="240" w:lineRule="auto"/>
        <w:ind w:left="708" w:firstLine="1"/>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do 01. ožujka 2022. godine.</w:t>
      </w:r>
    </w:p>
    <w:p>
      <w:pPr>
        <w:spacing w:after="0" w:line="240" w:lineRule="auto"/>
        <w:ind w:left="708" w:firstLine="708"/>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17.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 pogledu priprema za protupožarnu sezonu, sukladno novim propisima o organizaciji i zapovijedanja te novim tehnologijama na požarištima, zapovjednici i ostali vatrogasni časnici u sklopu DVD Grada Staroga Grada te Stožera civilne zaštite Grada Starog Grada educirati će se putem posebnih seminara u suradnji s Područnim uredom civilne zaštite Split, odnosno Županijskom vatrogasnom zajednicom.</w:t>
      </w:r>
    </w:p>
    <w:p>
      <w:pPr>
        <w:spacing w:after="0" w:line="240" w:lineRule="auto"/>
        <w:jc w:val="both"/>
        <w:rPr>
          <w:rFonts w:ascii="Times New Roman" w:hAnsi="Times New Roman" w:eastAsia="Times New Roman"/>
          <w:sz w:val="24"/>
          <w:szCs w:val="24"/>
          <w:lang w:eastAsia="hr-HR"/>
        </w:rPr>
      </w:pP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Zapovjednici, vatrogasni časnici i ostali pripadnici dobrovoljne vatrogasne postrojbe Grada Staroga Grada dužni su ispuniti uvjete za pribavljanje odobrenja za rad.</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Izvršiti će se vatrogasna obuka tzv. “sezonskih vatrogasaca” koji će, uz vatrogasnu postrojbu na području Grada Staroga Grada, činiti vatrogasne snage tijekom požarne sezone. Posebno je potrebno osigurati i obučiti te organizirati nazočnost na području članova posebnih vatrogasnih postrojbi ustrojenih na razini županije na području Grada Staroga Grada.</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DVD Stari Grad dužan je, u označenom roku, dostaviti na suglasnost Područnim uredom civilne zaštite Split plan rasporeda, broj i popis s osnovnim podacima vatrogasaca predviđenih za privremeno zapošljava nje te program njihovog dodatnog osposobljavanja i opremanja.</w:t>
      </w:r>
    </w:p>
    <w:p>
      <w:pPr>
        <w:spacing w:after="0" w:line="240" w:lineRule="auto"/>
        <w:jc w:val="both"/>
        <w:rPr>
          <w:rFonts w:ascii="Times New Roman" w:hAnsi="Times New Roman" w:eastAsia="Times New Roman"/>
          <w:sz w:val="24"/>
          <w:szCs w:val="24"/>
          <w:lang w:eastAsia="hr-HR"/>
        </w:rPr>
      </w:pP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Izvršitelji:</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Županijska vatrogasna zajednica</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Područni ured civilne zaštite Split</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 Sudionici: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 DVD Stari Grad</w:t>
      </w:r>
    </w:p>
    <w:p>
      <w:pPr>
        <w:spacing w:after="0" w:line="240" w:lineRule="auto"/>
        <w:ind w:left="1416"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Stožer civilne zaštite Grada Staroga Grada</w:t>
      </w:r>
    </w:p>
    <w:p>
      <w:pPr>
        <w:spacing w:after="0" w:line="240" w:lineRule="auto"/>
        <w:ind w:left="1416"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PON i PSN CZ (pod uvjetom popune)</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15. svibnja 2022 .g.</w:t>
      </w:r>
    </w:p>
    <w:p>
      <w:pPr>
        <w:spacing w:after="0" w:line="240" w:lineRule="auto"/>
        <w:ind w:firstLine="708"/>
        <w:jc w:val="both"/>
        <w:rPr>
          <w:rFonts w:ascii="Times New Roman" w:hAnsi="Times New Roman" w:eastAsia="Times New Roman"/>
          <w:sz w:val="24"/>
          <w:szCs w:val="24"/>
          <w:lang w:eastAsia="hr-HR"/>
        </w:rPr>
      </w:pPr>
    </w:p>
    <w:p>
      <w:pPr>
        <w:spacing w:after="0" w:line="240" w:lineRule="auto"/>
        <w:ind w:firstLine="708"/>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18.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Za kvalitetnu i što potpuniju pripremu protupožarne sezone, vatrogasna postrojba Grada Staroga Grada dužna je opremiti i tehnički osposobiti vatrogasna vozila i drugu značajnu vatrogasnu tehniku. Ovo osposobljavanje opreme i vozila učiniti sukladno izvršenom nalazu inspekcijskog nadzora </w:t>
      </w:r>
      <w:bookmarkStart w:id="2" w:name="9"/>
      <w:bookmarkEnd w:id="2"/>
      <w:r>
        <w:rPr>
          <w:rFonts w:ascii="Times New Roman" w:hAnsi="Times New Roman" w:eastAsia="Times New Roman"/>
          <w:sz w:val="24"/>
          <w:szCs w:val="24"/>
          <w:lang w:eastAsia="hr-HR"/>
        </w:rPr>
        <w:t>opremljenosti vatrogasne postrojbe Grada Staroga Grada i za naknadno pribavljenu tehniku tijekom požarne sezone. Na kraju protupožarne sezone izraditi zapisnički popis nedostajuće ili neupotrebljive opreme s pripadajućim obrazloženjima.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Pravne osobe koje gospodare šumom i zaštićenim prostorom dužne su imati tehničku opremu koja će omogućiti komunikacijsko povezivanje s vatrogasnim postrojbama Vatrogasnog područja Stari Grad.</w:t>
      </w:r>
    </w:p>
    <w:p>
      <w:pPr>
        <w:spacing w:after="0" w:line="240" w:lineRule="auto"/>
        <w:jc w:val="both"/>
        <w:rPr>
          <w:rFonts w:ascii="Times New Roman" w:hAnsi="Times New Roman" w:eastAsia="Times New Roman"/>
          <w:sz w:val="24"/>
          <w:szCs w:val="24"/>
          <w:lang w:eastAsia="hr-HR"/>
        </w:rPr>
      </w:pPr>
    </w:p>
    <w:p>
      <w:pPr>
        <w:spacing w:after="0" w:line="240" w:lineRule="auto"/>
        <w:ind w:left="2124" w:hanging="1416"/>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Izvršitelj:</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Gradonačelnik Grada Staroga Grada </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Sudionici:</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 DVD Stari Grad</w:t>
      </w:r>
    </w:p>
    <w:p>
      <w:pPr>
        <w:spacing w:after="0" w:line="240" w:lineRule="auto"/>
        <w:ind w:left="1416"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"Hrvatske šume" d.o.o. Zagreb PJ Split – Šumarija Hvar </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kontinuirano po potrebi</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19.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 svrhu promicanja uloge i značaja vatrogastva potrebno je provoditi edukaciju stanovništva održavanjem prigodnih manifestacija, provođenjem natjecanja vatrogasne mladeži, isticanjem plakata i javnim prikazivanjem videozapisa o posljedicama požara, poticanjem aktivnosti sudionika zaštite od požara. Također, obilježavati će se mjesec zaštite od požara kao i Dan vatrogasaca.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Korištenjem mjera zapošljavanja Hrvatskog zavoda za zapošljavanje uz suradnju sa Gradom Starim Gradom i DVD-om Stari Grad nastojati će se uključiti određeni broj nezaposlenih osoba sa područja Grada u obavljanje javnih radova na poslovima čišćenja požarno opasnih površina, sa krajnjim ciljem da se navedene osobe tijekom vremena usavrše za obavljanje vatrogasnog zanimanja.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Izvršitelj:</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 DVD Grada Stari Grad</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1. travnja - 31. svibnja 2022. g. </w:t>
      </w:r>
    </w:p>
    <w:p>
      <w:pPr>
        <w:spacing w:after="0" w:line="240" w:lineRule="auto"/>
        <w:ind w:firstLine="708"/>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 xml:space="preserve">III. </w:t>
      </w:r>
      <w:r>
        <w:rPr>
          <w:rFonts w:ascii="Times New Roman" w:hAnsi="Times New Roman" w:eastAsia="Times New Roman"/>
          <w:b/>
          <w:sz w:val="24"/>
          <w:szCs w:val="24"/>
          <w:lang w:eastAsia="hr-HR"/>
        </w:rPr>
        <w:tab/>
      </w:r>
      <w:r>
        <w:rPr>
          <w:rFonts w:ascii="Times New Roman" w:hAnsi="Times New Roman" w:eastAsia="Times New Roman"/>
          <w:b/>
          <w:sz w:val="24"/>
          <w:szCs w:val="24"/>
          <w:lang w:eastAsia="hr-HR"/>
        </w:rPr>
        <w:t xml:space="preserve">PLAN UPORABE VATROGASNIH SNAGA I OPREME ZA POŽARNO </w:t>
      </w:r>
    </w:p>
    <w:p>
      <w:pPr>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ab/>
      </w:r>
      <w:r>
        <w:rPr>
          <w:rFonts w:ascii="Times New Roman" w:hAnsi="Times New Roman" w:eastAsia="Times New Roman"/>
          <w:b/>
          <w:sz w:val="24"/>
          <w:szCs w:val="24"/>
          <w:lang w:eastAsia="hr-HR"/>
        </w:rPr>
        <w:t>PODRUČJE GRADA STAROGA GRADA TE PODRUČJE ŽUPANIJE</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20.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Na požarnom području Staroga Grada trebalo bi ustrojiti motrilačku i dojavnu službu s ciljem ranog i pravodobnog otkrivanja i dojave požara te njena potrebna dežurstva.</w:t>
      </w:r>
    </w:p>
    <w:p>
      <w:pPr>
        <w:shd w:val="clear" w:color="auto" w:fill="FFFFFF"/>
        <w:spacing w:before="180"/>
        <w:ind w:left="22" w:right="29"/>
        <w:jc w:val="both"/>
        <w:rPr>
          <w:rFonts w:ascii="Times New Roman" w:hAnsi="Times New Roman"/>
          <w:sz w:val="24"/>
          <w:szCs w:val="24"/>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N</w:t>
      </w:r>
      <w:r>
        <w:rPr>
          <w:rFonts w:ascii="Times New Roman" w:hAnsi="Times New Roman"/>
          <w:sz w:val="24"/>
          <w:szCs w:val="24"/>
        </w:rPr>
        <w:t xml:space="preserve">a vodospremi „Budinjac“ lociranu na brdu Budinjac postavljena je video kamera za nadzor požara. Video nadzor je povezan sa prostorijom DVD-a Stari Grad iz koje se njome može upravljati – pomicati je i zumirati. </w:t>
      </w:r>
    </w:p>
    <w:p>
      <w:pPr>
        <w:shd w:val="clear" w:color="auto" w:fill="FFFFFF"/>
        <w:spacing w:before="180"/>
        <w:ind w:left="22" w:right="2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Video nadzorom pokriven je veći dio područja Grada Staroga Grada (poluotok Kabal, Grad, odlagalište komunalnog otpada i veći dio Starogradskog polja)</w:t>
      </w:r>
    </w:p>
    <w:p>
      <w:pPr>
        <w:spacing w:after="0" w:line="240" w:lineRule="auto"/>
        <w:ind w:left="709"/>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Video nadzor je u funkciji od 15. lipnja 2014.</w:t>
      </w:r>
    </w:p>
    <w:p>
      <w:pPr>
        <w:spacing w:after="0" w:line="240" w:lineRule="auto"/>
        <w:ind w:left="709"/>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21.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Ustrojavaju se izvidničko preventivne ophodnje kako bi na licu mjesta poduzimale prve hitne mjere za uklanjanje potencijalnih izvora opasnosti, odnosno koje bi pravovremeno otkrivale, javljale i gasile požar u samom početku.</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U suradnji Turističkog ureda Stari Grad i Komunalno Stari Grad d.o.o. u razdoblju od 16. 06. do 15.09. 2022. vršit će se ophodnje s mora u vremenu od 06:00 – 10:00 i 18.00 – 20.00. </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Ophodnju će vršiti dva do tri djelatnika zaposlena na poslovima čišćenja plaža, a biti će opremljena mobilnim uređajima te opremom za ručno gašenje manjih požara (par kanti, brentača, srp i slično).</w:t>
      </w:r>
    </w:p>
    <w:p>
      <w:pPr>
        <w:spacing w:after="0" w:line="240" w:lineRule="auto"/>
        <w:jc w:val="both"/>
        <w:rPr>
          <w:rFonts w:ascii="Times New Roman" w:hAnsi="Times New Roman" w:eastAsia="Times New Roman"/>
          <w:sz w:val="24"/>
          <w:szCs w:val="24"/>
          <w:lang w:eastAsia="hr-HR"/>
        </w:rPr>
      </w:pP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Izvršitelj zadatka:</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Grad Stari Grad (Jedinstveni upravni odjel)</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Turistička zajednica Grada Staroga Grada</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Komunalno Stari Grad d.o.o.</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16. lipnja 2022. g.</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22.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Stožer Civilne zaštite odnosno izravno Gradonačelnik i vatrogasni zapovjednik Grada Starog Grada ažurirat će prosudbe ugroženosti i planove zaštite i spašavanja osoba i materijalnih dobara od elementarnih nepogoda, a osobito šumskih požara na području Grada Starog Grada. Temeljem takvih prosudbi i planova zaštite i spašavanja i ukoliko se posebno ustanovi da postojeće snage organizirane u DVD – ima na području Grada Starog Grada nisu dovoljne, zapovjednik DVD-a Grada Starog Grada će pristupiti pozivanju vatrogasnih snaga s ostalih područja. </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Gradonačelnik će, nakon prosudbe konkretne situacije, zatražiti od nadležnog tijela mobilizaciju organiziranih snaga zaštite i spašavanja odnosno potrebnog broja građana i materijalno tehničkih sredstava te po dobivenom odobrenju izvršiti pozivanje sudionika. Također, Gradonačelnik će zapovjediti uspostavu aktivnog cjelodnevnog dežurstva nadležnih tijela Grada Staroga Grada radi osiguranja logističke potpore snagama na terenu.</w:t>
      </w:r>
    </w:p>
    <w:p>
      <w:pPr>
        <w:spacing w:after="0" w:line="240" w:lineRule="auto"/>
        <w:jc w:val="both"/>
        <w:rPr>
          <w:rFonts w:ascii="Times New Roman" w:hAnsi="Times New Roman" w:eastAsia="Times New Roman"/>
          <w:sz w:val="24"/>
          <w:szCs w:val="24"/>
          <w:lang w:eastAsia="hr-HR"/>
        </w:rPr>
      </w:pPr>
    </w:p>
    <w:p>
      <w:pPr>
        <w:spacing w:after="0" w:line="240" w:lineRule="auto"/>
        <w:ind w:left="2832" w:hanging="2123"/>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Izvršitelj zadatka:</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Gradonačelnik </w:t>
      </w:r>
    </w:p>
    <w:p>
      <w:pPr>
        <w:spacing w:after="0" w:line="240" w:lineRule="auto"/>
        <w:ind w:left="2832" w:hanging="2124"/>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Sudionici: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Stožer civilne zaštite </w:t>
      </w:r>
    </w:p>
    <w:p>
      <w:pPr>
        <w:spacing w:after="0" w:line="240" w:lineRule="auto"/>
        <w:ind w:left="2832"/>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Povjerenici civilne zaštite u mjesnim odborima Grada Staroga Grada</w:t>
      </w:r>
    </w:p>
    <w:p>
      <w:pPr>
        <w:spacing w:after="0" w:line="240" w:lineRule="auto"/>
        <w:ind w:left="2832"/>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Pripadnici postrojbe opće namjene za zaštitu i spašavanje (PON)</w:t>
      </w:r>
    </w:p>
    <w:p>
      <w:pPr>
        <w:spacing w:after="0" w:line="240" w:lineRule="auto"/>
        <w:ind w:left="2124"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DVD Stari Grad</w:t>
      </w:r>
    </w:p>
    <w:p>
      <w:pPr>
        <w:spacing w:after="0" w:line="240" w:lineRule="auto"/>
        <w:ind w:left="2124"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MUP – Ravnateljstvo civilne zaštite </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trajno.</w:t>
      </w:r>
    </w:p>
    <w:p>
      <w:pPr>
        <w:spacing w:after="0" w:line="240" w:lineRule="auto"/>
        <w:ind w:firstLine="708"/>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23.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 slučaju nastupanja prirodnih nepogoda, za koordinaciju u akcijama zaštite i spašavanja ljudi i dobara na području Grada Staroga Grada ustrojen je Stožer civilne zaštite Grada Staroga Grada. Za načelnika Stožera civilne zaštite Grada Staroga Grada imenovan je vatrogasni zapovjednik DVD-a Grada Staroga Grada.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 okviru civilne zaštite Grada Staroga Grada  ustrojene su: Postrojba opće namjene s 16 članova (zapovjednik i 15 članova) te Povjerenici i zamjenici povjerenika (7 povjerenika i 7 zamjenika povjerenika.</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Ukoliko Stožer civilne zaštite Grada Starog Grada ocijeni potrebnim, u pomoć se pozivaju prvenstveno pravne osobe koje su definirane kao snage od interesa za zaštitu i spašavanje Grada Staroga Grada.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 slučaju otegotnih uvjeta Stožer civilne zaštite Grada Staroga Grada može, iznimno i privremeno, djelovati u užem sastavu kojeg čine: Gradonačelnik, načelnik Stožera, pomoćnik načelnika policijske postaje Hvar i predstavnik Područnog ureda civilne zaštite Split.</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O poduzetom aktivnostima u takvim okolnostima gradonačelnik će izvijestiti i ostale članove Stožera, čim to objektivno bude moguće.</w:t>
      </w:r>
    </w:p>
    <w:p>
      <w:pPr>
        <w:spacing w:after="0" w:line="240" w:lineRule="auto"/>
        <w:jc w:val="both"/>
        <w:rPr>
          <w:rFonts w:ascii="Times New Roman" w:hAnsi="Times New Roman" w:eastAsia="Times New Roman"/>
          <w:sz w:val="24"/>
          <w:szCs w:val="24"/>
          <w:lang w:eastAsia="hr-HR"/>
        </w:rPr>
      </w:pPr>
    </w:p>
    <w:p>
      <w:pPr>
        <w:spacing w:after="0" w:line="240" w:lineRule="auto"/>
        <w:contextualSpacing/>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24.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Grad Stari Grad oprema vatrogasnu postrojbu s odgovarajućom opremom i sredstvima o kojoj skrbi DVD Stari Grad.</w:t>
      </w:r>
    </w:p>
    <w:p>
      <w:pPr>
        <w:spacing w:after="0" w:line="240" w:lineRule="auto"/>
        <w:contextualSpacing/>
        <w:jc w:val="both"/>
        <w:rPr>
          <w:rFonts w:ascii="Times New Roman" w:hAnsi="Times New Roman" w:eastAsia="Times New Roman"/>
          <w:sz w:val="24"/>
          <w:szCs w:val="24"/>
          <w:lang w:eastAsia="hr-HR"/>
        </w:rPr>
      </w:pPr>
    </w:p>
    <w:p>
      <w:pPr>
        <w:shd w:val="clear" w:color="auto" w:fill="FFFFFF"/>
        <w:spacing w:before="187"/>
        <w:ind w:left="14" w:right="14"/>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Vatrogasna postrojba Dobrovoljnog vatrogasnog društva Stari Grad raspolaže s 8 vatrogasnih vozila i to:</w:t>
      </w:r>
    </w:p>
    <w:p>
      <w:pPr>
        <w:widowControl w:val="0"/>
        <w:numPr>
          <w:ilvl w:val="0"/>
          <w:numId w:val="6"/>
        </w:numPr>
        <w:tabs>
          <w:tab w:val="left" w:pos="540"/>
          <w:tab w:val="left" w:pos="1080"/>
          <w:tab w:val="clear" w:pos="1068"/>
        </w:tabs>
        <w:autoSpaceDE w:val="0"/>
        <w:autoSpaceDN w:val="0"/>
        <w:adjustRightInd w:val="0"/>
        <w:spacing w:before="100" w:beforeAutospacing="1" w:after="100" w:afterAutospacing="1" w:line="240" w:lineRule="auto"/>
        <w:ind w:left="540" w:firstLine="180"/>
        <w:jc w:val="both"/>
        <w:outlineLvl w:val="3"/>
        <w:rPr>
          <w:rFonts w:ascii="Times New Roman" w:hAnsi="Times New Roman"/>
          <w:bCs/>
          <w:sz w:val="24"/>
          <w:szCs w:val="24"/>
        </w:rPr>
      </w:pPr>
      <w:r>
        <w:rPr>
          <w:rFonts w:ascii="Times New Roman" w:hAnsi="Times New Roman"/>
          <w:bCs/>
          <w:sz w:val="24"/>
          <w:szCs w:val="24"/>
        </w:rPr>
        <w:t xml:space="preserve">Mercedes UNIMOG-U500 god. proizvodnje 2004. – Teško šumsko </w:t>
      </w:r>
      <w:r>
        <w:rPr>
          <w:rFonts w:ascii="Times New Roman" w:hAnsi="Times New Roman"/>
          <w:bCs/>
          <w:sz w:val="24"/>
          <w:szCs w:val="24"/>
        </w:rPr>
        <w:tab/>
      </w:r>
      <w:r>
        <w:rPr>
          <w:rFonts w:ascii="Times New Roman" w:hAnsi="Times New Roman"/>
          <w:bCs/>
          <w:sz w:val="24"/>
          <w:szCs w:val="24"/>
        </w:rPr>
        <w:t>vozilo kapacitet  3800 l vode i 200 l pjenila</w:t>
      </w:r>
    </w:p>
    <w:p>
      <w:pPr>
        <w:widowControl w:val="0"/>
        <w:numPr>
          <w:ilvl w:val="0"/>
          <w:numId w:val="6"/>
        </w:numPr>
        <w:tabs>
          <w:tab w:val="left" w:pos="0"/>
          <w:tab w:val="left" w:pos="1080"/>
          <w:tab w:val="left" w:pos="3338"/>
          <w:tab w:val="clear" w:pos="1068"/>
        </w:tabs>
        <w:autoSpaceDE w:val="0"/>
        <w:autoSpaceDN w:val="0"/>
        <w:adjustRightInd w:val="0"/>
        <w:spacing w:before="100" w:beforeAutospacing="1" w:after="0" w:line="240" w:lineRule="auto"/>
        <w:ind w:left="540" w:firstLine="180"/>
        <w:outlineLvl w:val="3"/>
        <w:rPr>
          <w:rFonts w:ascii="Times New Roman" w:hAnsi="Times New Roman"/>
          <w:bCs/>
        </w:rPr>
      </w:pPr>
      <w:r>
        <w:rPr>
          <w:rFonts w:ascii="Times New Roman" w:hAnsi="Times New Roman"/>
          <w:bCs/>
        </w:rPr>
        <w:t>IvecoDaily – godina proizvodnje 2004. - malo tehničko vozilo</w:t>
      </w:r>
    </w:p>
    <w:p>
      <w:pPr>
        <w:widowControl w:val="0"/>
        <w:numPr>
          <w:ilvl w:val="0"/>
          <w:numId w:val="6"/>
        </w:numPr>
        <w:tabs>
          <w:tab w:val="left" w:pos="0"/>
          <w:tab w:val="left" w:pos="540"/>
          <w:tab w:val="left" w:pos="1080"/>
          <w:tab w:val="left" w:pos="3338"/>
          <w:tab w:val="clear" w:pos="1068"/>
        </w:tabs>
        <w:autoSpaceDE w:val="0"/>
        <w:autoSpaceDN w:val="0"/>
        <w:adjustRightInd w:val="0"/>
        <w:spacing w:before="100" w:beforeAutospacing="1" w:after="100" w:afterAutospacing="1" w:line="240" w:lineRule="auto"/>
        <w:ind w:left="0" w:firstLine="720"/>
        <w:outlineLvl w:val="3"/>
        <w:rPr>
          <w:rFonts w:ascii="Times New Roman" w:hAnsi="Times New Roman"/>
          <w:bCs/>
        </w:rPr>
      </w:pPr>
      <w:r>
        <w:rPr>
          <w:rFonts w:ascii="Times New Roman" w:hAnsi="Times New Roman"/>
          <w:bCs/>
        </w:rPr>
        <w:t>Citroen Boxer – godina proizvodnje 2006. kombi</w:t>
      </w:r>
    </w:p>
    <w:p>
      <w:pPr>
        <w:widowControl w:val="0"/>
        <w:numPr>
          <w:ilvl w:val="0"/>
          <w:numId w:val="6"/>
        </w:numPr>
        <w:tabs>
          <w:tab w:val="left" w:pos="0"/>
          <w:tab w:val="left" w:pos="540"/>
          <w:tab w:val="left" w:pos="1080"/>
          <w:tab w:val="clear" w:pos="1068"/>
        </w:tabs>
        <w:autoSpaceDE w:val="0"/>
        <w:autoSpaceDN w:val="0"/>
        <w:adjustRightInd w:val="0"/>
        <w:spacing w:before="100" w:beforeAutospacing="1" w:after="100" w:afterAutospacing="1" w:line="240" w:lineRule="auto"/>
        <w:ind w:left="0" w:firstLine="720"/>
        <w:contextualSpacing/>
        <w:jc w:val="both"/>
        <w:outlineLvl w:val="3"/>
        <w:rPr>
          <w:rFonts w:ascii="Times New Roman" w:hAnsi="Times New Roman"/>
          <w:bCs/>
          <w:sz w:val="24"/>
          <w:szCs w:val="24"/>
        </w:rPr>
      </w:pPr>
      <w:r>
        <w:rPr>
          <w:rFonts w:ascii="Times New Roman" w:hAnsi="Times New Roman"/>
          <w:bCs/>
          <w:sz w:val="24"/>
          <w:szCs w:val="24"/>
        </w:rPr>
        <w:t xml:space="preserve">MAN 18.33D - god. proizvodnje 2009. – Vatrogasna cisterna kapacitet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10000l</w:t>
      </w:r>
    </w:p>
    <w:p>
      <w:pPr>
        <w:widowControl w:val="0"/>
        <w:numPr>
          <w:ilvl w:val="0"/>
          <w:numId w:val="6"/>
        </w:numPr>
        <w:tabs>
          <w:tab w:val="left" w:pos="540"/>
          <w:tab w:val="left" w:pos="1080"/>
          <w:tab w:val="clear" w:pos="1068"/>
        </w:tabs>
        <w:autoSpaceDE w:val="0"/>
        <w:autoSpaceDN w:val="0"/>
        <w:adjustRightInd w:val="0"/>
        <w:spacing w:before="100" w:beforeAutospacing="1" w:after="100" w:afterAutospacing="1" w:line="240" w:lineRule="auto"/>
        <w:ind w:left="540" w:firstLine="180"/>
        <w:contextualSpacing/>
        <w:jc w:val="both"/>
        <w:outlineLvl w:val="3"/>
        <w:rPr>
          <w:rFonts w:ascii="Times New Roman" w:hAnsi="Times New Roman"/>
          <w:bCs/>
          <w:sz w:val="24"/>
          <w:szCs w:val="24"/>
        </w:rPr>
      </w:pPr>
      <w:r>
        <w:rPr>
          <w:rFonts w:ascii="Times New Roman" w:hAnsi="Times New Roman"/>
          <w:bCs/>
          <w:sz w:val="24"/>
          <w:szCs w:val="24"/>
        </w:rPr>
        <w:t xml:space="preserve">IVECO Daily Truck 4x4 - god. proizvodnje 1989 – Malo šumsko vozilo </w:t>
      </w:r>
      <w:r>
        <w:rPr>
          <w:rFonts w:ascii="Times New Roman" w:hAnsi="Times New Roman"/>
          <w:bCs/>
          <w:sz w:val="24"/>
          <w:szCs w:val="24"/>
        </w:rPr>
        <w:tab/>
      </w:r>
      <w:r>
        <w:rPr>
          <w:rFonts w:ascii="Times New Roman" w:hAnsi="Times New Roman"/>
          <w:bCs/>
          <w:sz w:val="24"/>
          <w:szCs w:val="24"/>
        </w:rPr>
        <w:t>kapacitet  500l</w:t>
      </w:r>
    </w:p>
    <w:p>
      <w:pPr>
        <w:widowControl w:val="0"/>
        <w:numPr>
          <w:ilvl w:val="0"/>
          <w:numId w:val="6"/>
        </w:numPr>
        <w:tabs>
          <w:tab w:val="left" w:pos="540"/>
          <w:tab w:val="left" w:pos="1080"/>
          <w:tab w:val="clear" w:pos="1068"/>
        </w:tabs>
        <w:autoSpaceDE w:val="0"/>
        <w:autoSpaceDN w:val="0"/>
        <w:adjustRightInd w:val="0"/>
        <w:spacing w:before="100" w:beforeAutospacing="1" w:after="100" w:afterAutospacing="1" w:line="240" w:lineRule="auto"/>
        <w:ind w:left="540" w:firstLine="180"/>
        <w:contextualSpacing/>
        <w:jc w:val="both"/>
        <w:outlineLvl w:val="3"/>
        <w:rPr>
          <w:rFonts w:ascii="Times New Roman" w:hAnsi="Times New Roman"/>
          <w:bCs/>
          <w:sz w:val="24"/>
          <w:szCs w:val="24"/>
        </w:rPr>
      </w:pPr>
      <w:r>
        <w:rPr>
          <w:rFonts w:ascii="Times New Roman" w:hAnsi="Times New Roman"/>
          <w:bCs/>
          <w:sz w:val="24"/>
          <w:szCs w:val="24"/>
        </w:rPr>
        <w:t xml:space="preserve">TOYOTA Hillux – god. proizvodnje 2007. - Zapovjedno vozilo sa </w:t>
      </w:r>
      <w:r>
        <w:rPr>
          <w:rFonts w:ascii="Times New Roman" w:hAnsi="Times New Roman"/>
          <w:bCs/>
          <w:sz w:val="24"/>
          <w:szCs w:val="24"/>
        </w:rPr>
        <w:tab/>
      </w:r>
      <w:r>
        <w:rPr>
          <w:rFonts w:ascii="Times New Roman" w:hAnsi="Times New Roman"/>
          <w:bCs/>
          <w:sz w:val="24"/>
          <w:szCs w:val="24"/>
        </w:rPr>
        <w:t>nadogradnjom UHPS kapacitet 250 l</w:t>
      </w:r>
    </w:p>
    <w:p>
      <w:pPr>
        <w:widowControl w:val="0"/>
        <w:numPr>
          <w:ilvl w:val="0"/>
          <w:numId w:val="6"/>
        </w:numPr>
        <w:tabs>
          <w:tab w:val="left" w:pos="540"/>
          <w:tab w:val="left" w:pos="1080"/>
          <w:tab w:val="clear" w:pos="1068"/>
        </w:tabs>
        <w:autoSpaceDE w:val="0"/>
        <w:autoSpaceDN w:val="0"/>
        <w:adjustRightInd w:val="0"/>
        <w:spacing w:before="100" w:beforeAutospacing="1" w:after="100" w:afterAutospacing="1" w:line="240" w:lineRule="auto"/>
        <w:ind w:left="540" w:firstLine="180"/>
        <w:contextualSpacing/>
        <w:jc w:val="both"/>
        <w:outlineLvl w:val="3"/>
        <w:rPr>
          <w:rFonts w:ascii="Times New Roman" w:hAnsi="Times New Roman"/>
          <w:bCs/>
          <w:sz w:val="24"/>
          <w:szCs w:val="24"/>
        </w:rPr>
      </w:pPr>
      <w:r>
        <w:rPr>
          <w:rFonts w:ascii="Times New Roman" w:hAnsi="Times New Roman"/>
          <w:bCs/>
          <w:sz w:val="24"/>
          <w:szCs w:val="24"/>
        </w:rPr>
        <w:t xml:space="preserve">Autocisterna MAN TGM 15.250 4X2BB – godina proizvodnje 2015. </w:t>
      </w:r>
      <w:r>
        <w:rPr>
          <w:rFonts w:ascii="Times New Roman" w:hAnsi="Times New Roman"/>
          <w:sz w:val="24"/>
          <w:szCs w:val="24"/>
        </w:rPr>
        <w:t xml:space="preserve">kapaciteta </w:t>
      </w:r>
      <w:r>
        <w:rPr>
          <w:rFonts w:ascii="Times New Roman" w:hAnsi="Times New Roman"/>
          <w:sz w:val="24"/>
          <w:szCs w:val="24"/>
        </w:rPr>
        <w:tab/>
      </w:r>
      <w:r>
        <w:rPr>
          <w:rFonts w:ascii="Times New Roman" w:hAnsi="Times New Roman"/>
          <w:sz w:val="24"/>
          <w:szCs w:val="24"/>
        </w:rPr>
        <w:t>7000 litara</w:t>
      </w:r>
    </w:p>
    <w:p>
      <w:pPr>
        <w:pStyle w:val="10"/>
        <w:numPr>
          <w:ilvl w:val="0"/>
          <w:numId w:val="6"/>
        </w:numPr>
        <w:tabs>
          <w:tab w:val="clear" w:pos="1068"/>
        </w:tabs>
        <w:ind w:left="1134" w:hanging="425"/>
        <w:rPr>
          <w:rFonts w:ascii="Times New Roman" w:hAnsi="Times New Roman"/>
          <w:sz w:val="24"/>
          <w:szCs w:val="24"/>
        </w:rPr>
      </w:pPr>
      <w:r>
        <w:rPr>
          <w:rFonts w:ascii="Times New Roman" w:hAnsi="Times New Roman"/>
          <w:sz w:val="24"/>
          <w:szCs w:val="24"/>
        </w:rPr>
        <w:t>CITROEN C25 D, vatrogasno kombi vozilo, 1994. godina</w:t>
      </w:r>
    </w:p>
    <w:p>
      <w:pPr>
        <w:spacing w:before="100" w:beforeAutospacing="1" w:after="100" w:afterAutospacing="1"/>
        <w:ind w:firstLine="540"/>
        <w:jc w:val="both"/>
        <w:outlineLvl w:val="3"/>
        <w:rPr>
          <w:rFonts w:ascii="Times New Roman" w:hAnsi="Times New Roman" w:eastAsia="Times New Roman"/>
          <w:sz w:val="24"/>
          <w:szCs w:val="24"/>
          <w:lang w:eastAsia="hr-HR"/>
        </w:rPr>
      </w:pPr>
      <w:r>
        <w:rPr>
          <w:rFonts w:ascii="Times New Roman" w:hAnsi="Times New Roman"/>
          <w:bCs/>
          <w:sz w:val="24"/>
          <w:szCs w:val="24"/>
        </w:rPr>
        <w:t>Pored ovih vozila, DVD Stari Grad raspolaže i s jednom vatrogasnom prikolicom za prijevoz Rosenbauer motorne pumpe i opreme</w:t>
      </w:r>
    </w:p>
    <w:p>
      <w:pPr>
        <w:spacing w:after="0" w:line="240" w:lineRule="auto"/>
        <w:ind w:firstLine="540"/>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Za provedbu ovog Plana, Grad Stari Grad putem DVD-a Stari Grad, uz druge odgovarajuće planove više razine, osigurava 8 sezonski zaposlenih vatrogasaca te dodatni broj vatrogasaca utvrđen raspodjelom sredstava i snaga po planovima više razine organiziranja protupožarne zaštite.</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 xml:space="preserve">IV. </w:t>
      </w:r>
      <w:r>
        <w:rPr>
          <w:rFonts w:ascii="Times New Roman" w:hAnsi="Times New Roman" w:eastAsia="Times New Roman"/>
          <w:b/>
          <w:sz w:val="24"/>
          <w:szCs w:val="24"/>
          <w:lang w:eastAsia="hr-HR"/>
        </w:rPr>
        <w:tab/>
      </w:r>
      <w:r>
        <w:rPr>
          <w:rFonts w:ascii="Times New Roman" w:hAnsi="Times New Roman" w:eastAsia="Times New Roman"/>
          <w:b/>
          <w:sz w:val="24"/>
          <w:szCs w:val="24"/>
          <w:lang w:eastAsia="hr-HR"/>
        </w:rPr>
        <w:t xml:space="preserve">FINANCIRANJE </w:t>
      </w:r>
    </w:p>
    <w:p>
      <w:pPr>
        <w:spacing w:after="0" w:line="240" w:lineRule="auto"/>
        <w:jc w:val="both"/>
        <w:rPr>
          <w:rFonts w:ascii="Times New Roman" w:hAnsi="Times New Roman" w:eastAsia="Times New Roman"/>
          <w:sz w:val="24"/>
          <w:szCs w:val="24"/>
          <w:highlight w:val="yellow"/>
          <w:lang w:eastAsia="hr-HR"/>
        </w:rPr>
      </w:pP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25.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 Proračunu Grada Starog Grada za 2022. godinu („Službeni glasnik Grada Staroga Grada“, broj: 13/21) planirana su sredstva za protupožarnu zaštitu u iznosu od 791.000,00 kuna i to kako slijedi:</w:t>
      </w:r>
    </w:p>
    <w:p>
      <w:pPr>
        <w:spacing w:after="0" w:line="240" w:lineRule="auto"/>
        <w:ind w:firstLine="708"/>
        <w:jc w:val="both"/>
        <w:rPr>
          <w:rFonts w:ascii="Times New Roman" w:hAnsi="Times New Roman" w:eastAsia="Times New Roman"/>
          <w:sz w:val="24"/>
          <w:szCs w:val="24"/>
          <w:highlight w:val="yellow"/>
          <w:lang w:eastAsia="hr-HR"/>
        </w:rPr>
      </w:pPr>
    </w:p>
    <w:p>
      <w:pPr>
        <w:spacing w:after="0" w:line="240" w:lineRule="auto"/>
        <w:ind w:left="1413" w:hanging="705"/>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za redovnu djelatnost Dobrovoljnog vatrogasnog društva Stari Grad u 2022. g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predviđen je iznos od 620.000,00 kn od čega 500.000,00 kn za redovnu djelatnost, a 120.000,00 kn za angažiranje sezonskih vatrogasaca,</w:t>
      </w:r>
    </w:p>
    <w:p>
      <w:pPr>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za redovnu djelatnost Civilne zaštite Grada Starog Grada u 2022. g. predviđen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je iznos od 60.000,00 kn;</w:t>
      </w:r>
    </w:p>
    <w:p>
      <w:pPr>
        <w:ind w:firstLine="709"/>
        <w:jc w:val="both"/>
        <w:rPr>
          <w:rFonts w:ascii="Times New Roman" w:hAnsi="Times New Roman"/>
          <w:color w:val="FF0000"/>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za redovnu djelatnost Hrvatski crveni križ – Gradsko društvo Hvar – Stari Grad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u 2022. predviđen je iznos od 53.000,00 kn;</w:t>
      </w:r>
    </w:p>
    <w:p>
      <w:pPr>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za redovnu djelatnost Hrvatske gorske službe spašavanja u 2022. g.  predviđen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je iznos od 50.000,00 kn.</w:t>
      </w:r>
    </w:p>
    <w:p>
      <w:pPr>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 xml:space="preserve">MUP RH sufinanciranje sezonskih policajaca u 2022. g. predviđen je iznos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8.000,00 kn</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Ukoliko bi došlo do nedostatka sredstava na poziciji operativnog plana zaštite od požara, a koja razlika bi se odnosila na ukupne troškove povećanog broja sezonski zaposlenih vatrogasaca, sukladno pravilima za refundaciju sredstava na teret državnog proračuna, razlika će se osigurati iz dijela sredstava namijenjenih za djelatnost DVD-a Stari Grad odnosno po potrebi i donošenjem Izmjena i dopuna Proračuna Grada Staroga Grada za 2021 .godinu.</w:t>
      </w:r>
    </w:p>
    <w:p>
      <w:pPr>
        <w:spacing w:after="0" w:line="240" w:lineRule="auto"/>
        <w:ind w:firstLine="708"/>
        <w:jc w:val="both"/>
        <w:rPr>
          <w:rFonts w:ascii="Times New Roman" w:hAnsi="Times New Roman" w:eastAsia="Times New Roman"/>
          <w:sz w:val="24"/>
          <w:szCs w:val="24"/>
          <w:lang w:eastAsia="hr-HR"/>
        </w:rPr>
      </w:pP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Izvršitelj: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Gradonačelnik (Jedinstveni upravni odjel)</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Rok: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1. siječnja do 31. prosinca 2022. godine</w:t>
      </w:r>
    </w:p>
    <w:p>
      <w:pPr>
        <w:spacing w:after="0" w:line="240" w:lineRule="auto"/>
        <w:jc w:val="both"/>
        <w:rPr>
          <w:rFonts w:ascii="Times New Roman" w:hAnsi="Times New Roman" w:eastAsia="Times New Roman"/>
          <w:b/>
          <w:sz w:val="24"/>
          <w:szCs w:val="24"/>
          <w:lang w:eastAsia="hr-HR"/>
        </w:rPr>
      </w:pPr>
    </w:p>
    <w:p>
      <w:pPr>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 xml:space="preserve">V. </w:t>
      </w:r>
      <w:r>
        <w:rPr>
          <w:rFonts w:ascii="Times New Roman" w:hAnsi="Times New Roman" w:eastAsia="Times New Roman"/>
          <w:b/>
          <w:sz w:val="24"/>
          <w:szCs w:val="24"/>
          <w:lang w:eastAsia="hr-HR"/>
        </w:rPr>
        <w:tab/>
      </w:r>
      <w:r>
        <w:rPr>
          <w:rFonts w:ascii="Times New Roman" w:hAnsi="Times New Roman" w:eastAsia="Times New Roman"/>
          <w:b/>
          <w:sz w:val="24"/>
          <w:szCs w:val="24"/>
          <w:lang w:eastAsia="hr-HR"/>
        </w:rPr>
        <w:t>POŽARNO PODRUČJE STARI GRAD</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26.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Dok se novim pravilima o ustrojstvu i djelovanju MUP-a, Ravnateljstva Civilne zaštite na drugi način ne riješi pitanje teritorijalne organizacije zaštite od požara, požarno područje obuhvaća Grad Stari Grad i Hvar, Općine Jelsa i Sućuraj dok vatrogasne postrojbe istog djeluju prema potrebi na ostalim požarnim područjima Splitsko-dalmatinske županije prema utvrđenom rasporedu.</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Za svako požarno područje djelovanja utvrđuje se vatrogasna postrojba domaćin koja je u slučaju nastanka požara nositelj sljedećih obveza: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a)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hitno gašenje požara i obavješćivanje MUP Ravnateljstvo civilne zaštite –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Područni ured Split (MUP -RCZ), Vatrogasni operativni centar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(VOC) Split i Policijske postaje Hvar (PP) </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b)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upoznavanje područnog vatrogasnog zapovjednika o stanju s mjesta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događaja.</w:t>
      </w:r>
    </w:p>
    <w:p>
      <w:pPr>
        <w:spacing w:after="0" w:line="240" w:lineRule="auto"/>
        <w:jc w:val="both"/>
        <w:rPr>
          <w:rFonts w:ascii="Times New Roman" w:hAnsi="Times New Roman" w:eastAsia="Times New Roman"/>
          <w:sz w:val="24"/>
          <w:szCs w:val="24"/>
          <w:lang w:eastAsia="hr-HR"/>
        </w:rPr>
      </w:pPr>
      <w:bookmarkStart w:id="3" w:name="13"/>
      <w:bookmarkEnd w:id="3"/>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27.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Za svako požarno područje određuje se vatrogasna postrojba (domaćin) u svojstvu nositelja, koja rukovodi akcijom gašenja požara do dolaska nadležnog vatrogasnog zapovjednika ili osobe koju on ovlasti.</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Angažiranje ostalih dobrovoljnih vatrogasnih snaga sa drugih područja, utvrđuju se s Požarnog područja otoka Hvara kako slijedi:</w:t>
      </w:r>
    </w:p>
    <w:p>
      <w:pPr>
        <w:spacing w:after="0" w:line="240" w:lineRule="auto"/>
        <w:jc w:val="both"/>
        <w:rPr>
          <w:rFonts w:ascii="Times New Roman" w:hAnsi="Times New Roman" w:eastAsia="Times New Roman"/>
          <w:sz w:val="24"/>
          <w:szCs w:val="24"/>
          <w:lang w:eastAsia="hr-HR"/>
        </w:rPr>
      </w:pP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DVD - Jelsa</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DVD - Hvar</w:t>
      </w: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DVD – Sućuraj</w:t>
      </w:r>
    </w:p>
    <w:p>
      <w:pPr>
        <w:spacing w:after="0" w:line="240" w:lineRule="auto"/>
        <w:ind w:firstLine="708"/>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Nositelj je onaj na čijem je području požar, a ostali su sudionici do dolaska vatrogasnog zapovjednika ili osobe koju on ovlasti.</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Sudionici: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Požarno područje Split </w:t>
      </w:r>
    </w:p>
    <w:p>
      <w:pPr>
        <w:spacing w:after="0" w:line="240" w:lineRule="auto"/>
        <w:jc w:val="both"/>
        <w:rPr>
          <w:rFonts w:ascii="Times New Roman" w:hAnsi="Times New Roman" w:eastAsia="Times New Roman"/>
          <w:sz w:val="24"/>
          <w:szCs w:val="24"/>
          <w:lang w:eastAsia="hr-HR"/>
        </w:rPr>
      </w:pP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Na temelju procjene zapovjednik vatrogasne postrojbe koja je prva stigla na mjesto požara po potrebi poziva i ostale vatrogasne postrojbe sa otoka Hvara te o tome izvještava područnog vatrogasnog zapovjednika.</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Ako snage i oprema DVD-a Stari Grad nisu dostatne, područni vatrogasni zapovjednik će pozvati ostale vatrogasne postrojbe vatrogasnog područja otoka Hvara te o tome izvijestiti višu razinu zapovijedanja.</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U slučaju nastupa 3. i višeg stupnja ugroženosti od požara područni vatrogasni zapovjednik traži dodatne vatrogasne snage i opremu putem više razine zapovijedanja, a sukladno Planu intervencija kod velikih požara otvorenog prostora na teritoriju RH.</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28.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U svrhu učinkovitog vođenja posebno složenih višednevnih intervencija, operativnom stožeru intervencije i vatrogasnim snagama stavljaju se na raspolaganje slijedeće prostorije:</w:t>
      </w:r>
    </w:p>
    <w:p>
      <w:pPr>
        <w:spacing w:after="0" w:line="240" w:lineRule="auto"/>
        <w:jc w:val="both"/>
        <w:rPr>
          <w:rFonts w:ascii="Times New Roman" w:hAnsi="Times New Roman" w:eastAsia="Times New Roman"/>
          <w:sz w:val="24"/>
          <w:szCs w:val="24"/>
          <w:lang w:eastAsia="hr-HR"/>
        </w:rPr>
      </w:pPr>
    </w:p>
    <w:p>
      <w:pPr>
        <w:spacing w:after="0" w:line="240" w:lineRule="auto"/>
        <w:ind w:firstLine="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DVD Stari Grad, Ulica Ivana Meštrovića 4a., Stari Grad,</w:t>
      </w:r>
    </w:p>
    <w:p>
      <w:pPr>
        <w:spacing w:after="0" w:line="240" w:lineRule="auto"/>
        <w:ind w:left="708"/>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 xml:space="preserve">-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Grad Stari Grad, Novo riva 3, Stari Grad,</w:t>
      </w:r>
    </w:p>
    <w:p>
      <w:pPr>
        <w:spacing w:after="0" w:line="240" w:lineRule="auto"/>
        <w:ind w:firstLine="708"/>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 prijevoz, smještaj i opremu osigurava Grad Stari Grad i DVD Grada Staroga Grada uz pomoć drugih javnih subjekata.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Za potrebe djelovanja operativnih i zapovjednih snaga zaštite i spašavanja u slučaju neposredne opasnosti od teških prirodnih nepogoda koriste se prostori i oprema iz prethodnog stavka.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U slučaju potrebe za interventnom opskrbom pitkom vodom kućanstava koji nemaju izravan pristup javnoj vodoopskrbnoj mreži zbog nastupa izrazito sušnog perioda, gradonačelnik Grada Staroga Grada i vatrogasni zapovjednik DVD-a Stari Grad utvrđuju uvjete i način korištenja ljudi i </w:t>
      </w:r>
      <w:bookmarkStart w:id="4" w:name="14"/>
      <w:bookmarkEnd w:id="4"/>
      <w:r>
        <w:rPr>
          <w:rFonts w:ascii="Times New Roman" w:hAnsi="Times New Roman" w:eastAsia="Times New Roman"/>
          <w:sz w:val="24"/>
          <w:szCs w:val="24"/>
          <w:lang w:eastAsia="hr-HR"/>
        </w:rPr>
        <w:t>opreme DVD-a Grada Staroga Grada uz asistenciju javne tvrtke Hvarski vodovod d.o.o. Jelsa</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Alternativna zapovjedna mjesta su: </w:t>
      </w:r>
    </w:p>
    <w:p>
      <w:pPr>
        <w:tabs>
          <w:tab w:val="left" w:pos="1134"/>
        </w:tabs>
        <w:ind w:firstLine="851"/>
        <w:jc w:val="both"/>
        <w:rPr>
          <w:rFonts w:ascii="Times New Roman" w:hAnsi="Times New Roman"/>
          <w:sz w:val="24"/>
          <w:szCs w:val="24"/>
        </w:rPr>
      </w:pPr>
      <w:r>
        <w:rPr>
          <w:rFonts w:ascii="Times New Roman" w:hAnsi="Times New Roman" w:eastAsia="Times New Roman"/>
          <w:sz w:val="24"/>
          <w:szCs w:val="24"/>
          <w:lang w:eastAsia="hr-HR"/>
        </w:rPr>
        <w:t>-</w:t>
      </w:r>
      <w:r>
        <w:rPr>
          <w:rFonts w:ascii="Times New Roman" w:hAnsi="Times New Roman" w:eastAsia="Times New Roman"/>
          <w:sz w:val="24"/>
          <w:szCs w:val="24"/>
          <w:lang w:eastAsia="hr-HR"/>
        </w:rPr>
        <w:tab/>
      </w:r>
      <w:r>
        <w:rPr>
          <w:rFonts w:ascii="Times New Roman" w:hAnsi="Times New Roman"/>
          <w:sz w:val="24"/>
          <w:szCs w:val="24"/>
        </w:rPr>
        <w:t>sjedište Komunalno Stari Grad d.o.o., Trg Ploča 7, 21460 Stari Grad</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29.</w:t>
      </w:r>
      <w:r>
        <w:rPr>
          <w:rFonts w:ascii="Times New Roman" w:hAnsi="Times New Roman" w:eastAsia="Times New Roman"/>
          <w:color w:val="FF0000"/>
          <w:sz w:val="24"/>
          <w:szCs w:val="24"/>
          <w:lang w:eastAsia="hr-HR"/>
        </w:rPr>
        <w:t xml:space="preserve"> </w:t>
      </w:r>
      <w:r>
        <w:rPr>
          <w:rFonts w:ascii="Times New Roman" w:hAnsi="Times New Roman" w:eastAsia="Times New Roman"/>
          <w:color w:val="FF0000"/>
          <w:sz w:val="24"/>
          <w:szCs w:val="24"/>
          <w:lang w:eastAsia="hr-HR"/>
        </w:rPr>
        <w:tab/>
      </w:r>
      <w:r>
        <w:rPr>
          <w:rFonts w:ascii="Times New Roman" w:hAnsi="Times New Roman" w:eastAsia="Times New Roman"/>
          <w:sz w:val="24"/>
          <w:szCs w:val="24"/>
          <w:lang w:eastAsia="hr-HR"/>
        </w:rPr>
        <w:t>Napuštanje i čuvanje zgarišta određuje isključivo vatrogasni zapovjednik ili</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osoba koju on ovlasti. Ova odredba odnosi se na sve sudionike koji sudjeluju u gašenju prema ovom Planu.</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30.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 Postrojba Grada Staroga Grada i ostali nositelji zadaća iz ovog Plana pri postupanju u slučaju požara na otvorenim prostorima (šumsko i poljoprivredno zemljište) osobito surađuju s JP „Hrvatske šume" d.o.o. Zagreb PJ Split – Šumarija Hvar i svoje aktivnosti usklađuju s njenim posebnim planom zaštite od požara. </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sz w:val="24"/>
          <w:szCs w:val="24"/>
          <w:lang w:eastAsia="hr-HR"/>
        </w:rPr>
        <w:t>VI. ZAKLJUČNE ODREDBE</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31.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Nositelji zadatka iz ovoga Plana obvezni su o svim obavljenim aktivnostima izvijestili DVD-a Grada Staroga Grada odmah po isteku roka za izvršenje pojedinih zaduženja.</w:t>
      </w: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32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Osoba zadužena za koordinaciju provedbe Programa Vlade RH za Grad Stari Grad, kao ovlaštenik Grada Starog Grada, je </w:t>
      </w:r>
      <w:r>
        <w:rPr>
          <w:rStyle w:val="11"/>
          <w:rFonts w:ascii="Times New Roman" w:hAnsi="Times New Roman"/>
          <w:sz w:val="24"/>
          <w:szCs w:val="24"/>
        </w:rPr>
        <w:t>Antoni Ivanković</w:t>
      </w:r>
      <w:r>
        <w:rPr>
          <w:rFonts w:ascii="Times New Roman" w:hAnsi="Times New Roman" w:eastAsia="Times New Roman"/>
          <w:sz w:val="24"/>
          <w:szCs w:val="24"/>
          <w:lang w:eastAsia="hr-HR"/>
        </w:rPr>
        <w:t xml:space="preserve">, zapovjednik DVD-a Stari Grad Grada Staroga Grada (mob. </w:t>
      </w:r>
      <w:r>
        <w:rPr>
          <w:rFonts w:ascii="Times New Roman" w:hAnsi="Times New Roman"/>
          <w:sz w:val="24"/>
          <w:szCs w:val="24"/>
        </w:rPr>
        <w:t>091/523 6071</w:t>
      </w:r>
      <w:r>
        <w:rPr>
          <w:rFonts w:ascii="Times New Roman" w:hAnsi="Times New Roman" w:eastAsia="Times New Roman"/>
          <w:sz w:val="24"/>
          <w:szCs w:val="24"/>
          <w:lang w:eastAsia="hr-HR"/>
        </w:rPr>
        <w:t xml:space="preserve">, fax. 717-818) koja pri tome kao i u poslovima logistike u akcijama gašenja požara surađuje s predsjednikom DVD-a Stari Grad, Nikšom Duževićem (tel/fax. 095/30 00 242). </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33.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Ovom Planu prileži tabelarni popis svih nositelja planiranih aktivnosti s adresarom.</w:t>
      </w: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sz w:val="24"/>
          <w:szCs w:val="24"/>
          <w:lang w:eastAsia="hr-HR"/>
        </w:rPr>
      </w:pP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 xml:space="preserve">34. </w:t>
      </w:r>
      <w:r>
        <w:rPr>
          <w:rFonts w:ascii="Times New Roman" w:hAnsi="Times New Roman" w:eastAsia="Times New Roman"/>
          <w:sz w:val="24"/>
          <w:szCs w:val="24"/>
          <w:lang w:eastAsia="hr-HR"/>
        </w:rPr>
        <w:tab/>
      </w:r>
      <w:r>
        <w:rPr>
          <w:rFonts w:ascii="Times New Roman" w:hAnsi="Times New Roman" w:eastAsia="Times New Roman"/>
          <w:sz w:val="24"/>
          <w:szCs w:val="24"/>
          <w:lang w:eastAsia="hr-HR"/>
        </w:rPr>
        <w:t>Ovaj Plan stupa na snagu dan nakon objave u Službenom glasniku Grada Staroga Grada i objavljuje se na službenim web stranicama Grada Staroga Grada www.stari-grad.hr.</w:t>
      </w:r>
    </w:p>
    <w:p>
      <w:pPr>
        <w:spacing w:after="0" w:line="240" w:lineRule="auto"/>
        <w:jc w:val="both"/>
        <w:rPr>
          <w:rFonts w:ascii="Times New Roman" w:hAnsi="Times New Roman" w:eastAsia="Times New Roman"/>
          <w:sz w:val="24"/>
          <w:szCs w:val="24"/>
          <w:lang w:eastAsia="hr-HR"/>
        </w:rPr>
      </w:pPr>
    </w:p>
    <w:p>
      <w:pPr>
        <w:jc w:val="both"/>
        <w:rPr>
          <w:rFonts w:ascii="Times New Roman" w:hAnsi="Times New Roman"/>
          <w:sz w:val="24"/>
          <w:szCs w:val="24"/>
        </w:rPr>
      </w:pPr>
    </w:p>
    <w:p>
      <w:pPr>
        <w:pStyle w:val="14"/>
        <w:jc w:val="center"/>
        <w:rPr>
          <w:rFonts w:ascii="Times New Roman" w:hAnsi="Times New Roman"/>
          <w:sz w:val="24"/>
          <w:szCs w:val="24"/>
        </w:rPr>
      </w:pPr>
      <w:r>
        <w:rPr>
          <w:rFonts w:ascii="Times New Roman" w:hAnsi="Times New Roman"/>
          <w:sz w:val="24"/>
          <w:szCs w:val="24"/>
          <w:lang w:eastAsia="hr-HR"/>
        </w:rPr>
        <w:drawing>
          <wp:inline distT="0" distB="0" distL="0" distR="0">
            <wp:extent cx="588010" cy="67691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srcRect/>
                    <a:stretch>
                      <a:fillRect/>
                    </a:stretch>
                  </pic:blipFill>
                  <pic:spPr>
                    <a:xfrm>
                      <a:off x="0" y="0"/>
                      <a:ext cx="588010" cy="676910"/>
                    </a:xfrm>
                    <a:prstGeom prst="rect">
                      <a:avLst/>
                    </a:prstGeom>
                    <a:noFill/>
                    <a:ln w="9525">
                      <a:noFill/>
                      <a:miter lim="800000"/>
                      <a:headEnd/>
                      <a:tailEnd/>
                    </a:ln>
                  </pic:spPr>
                </pic:pic>
              </a:graphicData>
            </a:graphic>
          </wp:inline>
        </w:drawing>
      </w:r>
    </w:p>
    <w:p>
      <w:pPr>
        <w:pStyle w:val="14"/>
        <w:jc w:val="center"/>
        <w:rPr>
          <w:rFonts w:ascii="Times New Roman" w:hAnsi="Times New Roman"/>
          <w:sz w:val="24"/>
          <w:szCs w:val="24"/>
        </w:rPr>
      </w:pPr>
      <w:r>
        <w:rPr>
          <w:rFonts w:ascii="Times New Roman" w:hAnsi="Times New Roman"/>
          <w:sz w:val="24"/>
          <w:szCs w:val="24"/>
        </w:rPr>
        <w:t>REPUBLIKA HRVATSKA</w:t>
      </w:r>
    </w:p>
    <w:p>
      <w:pPr>
        <w:pStyle w:val="14"/>
        <w:jc w:val="center"/>
        <w:rPr>
          <w:rFonts w:ascii="Times New Roman" w:hAnsi="Times New Roman"/>
          <w:sz w:val="24"/>
          <w:szCs w:val="24"/>
        </w:rPr>
      </w:pPr>
      <w:r>
        <w:rPr>
          <w:rFonts w:ascii="Times New Roman" w:hAnsi="Times New Roman"/>
          <w:sz w:val="24"/>
          <w:szCs w:val="24"/>
        </w:rPr>
        <w:t>SPLITSKO-DALMATINSKA ŽUPANIJA</w:t>
      </w:r>
    </w:p>
    <w:p>
      <w:pPr>
        <w:pStyle w:val="14"/>
        <w:jc w:val="center"/>
        <w:rPr>
          <w:rFonts w:ascii="Times New Roman" w:hAnsi="Times New Roman"/>
          <w:sz w:val="24"/>
          <w:szCs w:val="24"/>
        </w:rPr>
      </w:pPr>
      <w:r>
        <w:rPr>
          <w:rFonts w:ascii="Times New Roman" w:hAnsi="Times New Roman"/>
          <w:sz w:val="24"/>
          <w:szCs w:val="24"/>
          <w:lang w:eastAsia="hr-HR"/>
        </w:rPr>
        <w:drawing>
          <wp:inline distT="0" distB="0" distL="0" distR="0">
            <wp:extent cx="563880" cy="664845"/>
            <wp:effectExtent l="19050" t="0" r="7620" b="0"/>
            <wp:docPr id="2" name="Picture 2" descr="C:\Documents and Settings\Korisnik\My Documents\turist_zajednica\grb grada u boji_fil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Documents and Settings\Korisnik\My Documents\turist_zajednica\grb grada u boji_files\grb.gif"/>
                    <pic:cNvPicPr>
                      <a:picLocks noChangeAspect="1" noChangeArrowheads="1"/>
                    </pic:cNvPicPr>
                  </pic:nvPicPr>
                  <pic:blipFill>
                    <a:blip r:embed="rId8" r:link="rId9" cstate="print"/>
                    <a:srcRect/>
                    <a:stretch>
                      <a:fillRect/>
                    </a:stretch>
                  </pic:blipFill>
                  <pic:spPr>
                    <a:xfrm flipH="1">
                      <a:off x="0" y="0"/>
                      <a:ext cx="563880" cy="664845"/>
                    </a:xfrm>
                    <a:prstGeom prst="rect">
                      <a:avLst/>
                    </a:prstGeom>
                    <a:noFill/>
                    <a:ln w="9525">
                      <a:noFill/>
                      <a:miter lim="800000"/>
                      <a:headEnd/>
                      <a:tailEnd/>
                    </a:ln>
                  </pic:spPr>
                </pic:pic>
              </a:graphicData>
            </a:graphic>
          </wp:inline>
        </w:drawing>
      </w:r>
    </w:p>
    <w:p>
      <w:pPr>
        <w:pStyle w:val="14"/>
        <w:jc w:val="center"/>
        <w:rPr>
          <w:rFonts w:ascii="Times New Roman" w:hAnsi="Times New Roman"/>
          <w:sz w:val="24"/>
          <w:szCs w:val="24"/>
        </w:rPr>
      </w:pPr>
      <w:r>
        <w:rPr>
          <w:rFonts w:ascii="Times New Roman" w:hAnsi="Times New Roman"/>
          <w:sz w:val="24"/>
          <w:szCs w:val="24"/>
        </w:rPr>
        <w:t>GRAD STARI GRAD</w:t>
      </w:r>
    </w:p>
    <w:p>
      <w:pPr>
        <w:pStyle w:val="14"/>
        <w:jc w:val="center"/>
        <w:rPr>
          <w:rFonts w:ascii="Times New Roman" w:hAnsi="Times New Roman"/>
          <w:b/>
          <w:i/>
          <w:sz w:val="24"/>
          <w:szCs w:val="24"/>
        </w:rPr>
      </w:pPr>
      <w:r>
        <w:rPr>
          <w:rFonts w:ascii="Times New Roman" w:hAnsi="Times New Roman"/>
          <w:b/>
          <w:i/>
          <w:sz w:val="24"/>
          <w:szCs w:val="24"/>
        </w:rPr>
        <w:t>G r a d s k o  v i j e ć e</w:t>
      </w:r>
    </w:p>
    <w:p>
      <w:pPr>
        <w:pStyle w:val="14"/>
        <w:rPr>
          <w:rFonts w:ascii="Times New Roman" w:hAnsi="Times New Roman"/>
          <w:sz w:val="24"/>
          <w:szCs w:val="24"/>
        </w:rPr>
      </w:pPr>
    </w:p>
    <w:p>
      <w:pPr>
        <w:pStyle w:val="14"/>
        <w:rPr>
          <w:rFonts w:ascii="Times New Roman" w:hAnsi="Times New Roman"/>
          <w:b/>
          <w:i/>
          <w:sz w:val="24"/>
          <w:szCs w:val="24"/>
        </w:rPr>
      </w:pPr>
    </w:p>
    <w:p>
      <w:pPr>
        <w:pStyle w:val="14"/>
        <w:rPr>
          <w:rFonts w:ascii="Times New Roman" w:hAnsi="Times New Roman"/>
          <w:sz w:val="24"/>
          <w:szCs w:val="24"/>
        </w:rPr>
      </w:pPr>
      <w:r>
        <w:rPr>
          <w:rFonts w:ascii="Times New Roman" w:hAnsi="Times New Roman"/>
          <w:sz w:val="24"/>
          <w:szCs w:val="24"/>
        </w:rPr>
        <w:t>KLASA: 245-01/22-01/04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PREDSJEDNIK</w:t>
      </w:r>
    </w:p>
    <w:p>
      <w:pPr>
        <w:pStyle w:val="14"/>
        <w:rPr>
          <w:rFonts w:ascii="Times New Roman" w:hAnsi="Times New Roman"/>
          <w:i/>
          <w:sz w:val="24"/>
          <w:szCs w:val="24"/>
        </w:rPr>
      </w:pPr>
      <w:r>
        <w:rPr>
          <w:rFonts w:ascii="Times New Roman" w:hAnsi="Times New Roman"/>
          <w:sz w:val="24"/>
          <w:szCs w:val="24"/>
        </w:rPr>
        <w:t>URBROJ: 2181-10-01-22-2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GRADSKOG VIJEĆA</w:t>
      </w:r>
    </w:p>
    <w:p>
      <w:pPr>
        <w:pStyle w:val="14"/>
        <w:rPr>
          <w:rFonts w:ascii="Times New Roman" w:hAnsi="Times New Roman"/>
          <w:i/>
          <w:sz w:val="24"/>
          <w:szCs w:val="24"/>
        </w:rPr>
      </w:pPr>
      <w:r>
        <w:rPr>
          <w:rFonts w:ascii="Times New Roman" w:hAnsi="Times New Roman"/>
          <w:sz w:val="24"/>
          <w:szCs w:val="24"/>
        </w:rPr>
        <w:t xml:space="preserve">Stari Grad, </w:t>
      </w:r>
      <w:r>
        <w:rPr>
          <w:rFonts w:hint="default" w:ascii="Times New Roman" w:hAnsi="Times New Roman"/>
          <w:sz w:val="24"/>
          <w:szCs w:val="24"/>
          <w:lang w:val="hr-HR"/>
        </w:rPr>
        <w:t xml:space="preserve">23. </w:t>
      </w:r>
      <w:r>
        <w:rPr>
          <w:rFonts w:ascii="Times New Roman" w:hAnsi="Times New Roman"/>
          <w:sz w:val="24"/>
          <w:szCs w:val="24"/>
        </w:rPr>
        <w:t xml:space="preserve"> lipnja 2022. godine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i/>
          <w:sz w:val="24"/>
          <w:szCs w:val="24"/>
        </w:rPr>
        <w:t xml:space="preserve">      Teo Bratanić</w:t>
      </w:r>
      <w:r>
        <w:rPr>
          <w:rFonts w:ascii="Times New Roman" w:hAnsi="Times New Roman"/>
          <w:sz w:val="24"/>
          <w:szCs w:val="24"/>
        </w:rPr>
        <w:t xml:space="preserve">          </w:t>
      </w:r>
    </w:p>
    <w:p>
      <w:pPr>
        <w:rPr>
          <w:rFonts w:ascii="Times New Roman" w:hAnsi="Times New Roman"/>
          <w:i/>
          <w:sz w:val="24"/>
          <w:szCs w:val="24"/>
        </w:rPr>
      </w:pPr>
    </w:p>
    <w:p>
      <w:pPr>
        <w:spacing w:after="0" w:line="240" w:lineRule="auto"/>
        <w:jc w:val="center"/>
        <w:rPr>
          <w:rStyle w:val="11"/>
          <w:rFonts w:ascii="Times New Roman" w:hAnsi="Times New Roman"/>
          <w:sz w:val="24"/>
          <w:szCs w:val="24"/>
        </w:rPr>
      </w:pPr>
    </w:p>
    <w:p>
      <w:pPr>
        <w:spacing w:after="0" w:line="240" w:lineRule="auto"/>
        <w:jc w:val="both"/>
        <w:rPr>
          <w:rFonts w:ascii="Times New Roman" w:hAnsi="Times New Roman" w:eastAsia="Times New Roman"/>
          <w:sz w:val="24"/>
          <w:szCs w:val="24"/>
          <w:lang w:eastAsia="hr-HR"/>
        </w:rPr>
      </w:pPr>
    </w:p>
    <w:p>
      <w:pPr>
        <w:spacing w:after="0" w:line="240" w:lineRule="auto"/>
        <w:jc w:val="both"/>
        <w:rPr>
          <w:rFonts w:ascii="Times New Roman" w:hAnsi="Times New Roman" w:eastAsia="Times New Roman"/>
          <w:i/>
          <w:sz w:val="24"/>
          <w:szCs w:val="24"/>
          <w:lang w:eastAsia="hr-HR"/>
        </w:rPr>
      </w:pPr>
      <w:r>
        <w:rPr>
          <w:rFonts w:ascii="Times New Roman" w:hAnsi="Times New Roman" w:eastAsia="Times New Roman"/>
          <w:i/>
          <w:sz w:val="24"/>
          <w:szCs w:val="24"/>
          <w:u w:val="single"/>
          <w:lang w:eastAsia="hr-HR"/>
        </w:rPr>
        <w:t>DOSTAVITI</w:t>
      </w:r>
      <w:r>
        <w:rPr>
          <w:rFonts w:ascii="Times New Roman" w:hAnsi="Times New Roman" w:eastAsia="Times New Roman"/>
          <w:i/>
          <w:sz w:val="24"/>
          <w:szCs w:val="24"/>
          <w:lang w:eastAsia="hr-HR"/>
        </w:rPr>
        <w:t>:</w:t>
      </w:r>
      <w:bookmarkStart w:id="5" w:name="_GoBack"/>
      <w:bookmarkEnd w:id="5"/>
    </w:p>
    <w:p>
      <w:pPr>
        <w:spacing w:after="0" w:line="240" w:lineRule="auto"/>
        <w:jc w:val="both"/>
        <w:rPr>
          <w:rFonts w:ascii="Times New Roman" w:hAnsi="Times New Roman" w:eastAsia="Times New Roman"/>
          <w:i/>
          <w:sz w:val="24"/>
          <w:szCs w:val="24"/>
          <w:lang w:eastAsia="hr-HR"/>
        </w:rPr>
      </w:pPr>
    </w:p>
    <w:p>
      <w:pPr>
        <w:spacing w:after="0" w:line="240" w:lineRule="auto"/>
        <w:jc w:val="both"/>
        <w:rPr>
          <w:rFonts w:ascii="Times New Roman" w:hAnsi="Times New Roman" w:eastAsia="Times New Roman"/>
          <w:i/>
          <w:sz w:val="24"/>
          <w:szCs w:val="24"/>
          <w:lang w:eastAsia="hr-HR"/>
        </w:rPr>
      </w:pPr>
      <w:r>
        <w:rPr>
          <w:rFonts w:ascii="Times New Roman" w:hAnsi="Times New Roman" w:eastAsia="Times New Roman"/>
          <w:i/>
          <w:sz w:val="24"/>
          <w:szCs w:val="24"/>
          <w:lang w:eastAsia="hr-HR"/>
        </w:rPr>
        <w:t>1. DVD Stari Grad,</w:t>
      </w:r>
    </w:p>
    <w:p>
      <w:pPr>
        <w:spacing w:after="0" w:line="240" w:lineRule="auto"/>
        <w:jc w:val="both"/>
        <w:rPr>
          <w:rFonts w:ascii="Times New Roman" w:hAnsi="Times New Roman" w:eastAsia="Times New Roman"/>
          <w:i/>
          <w:sz w:val="24"/>
          <w:szCs w:val="24"/>
          <w:lang w:eastAsia="hr-HR"/>
        </w:rPr>
      </w:pPr>
      <w:r>
        <w:rPr>
          <w:rFonts w:ascii="Times New Roman" w:hAnsi="Times New Roman" w:eastAsia="Times New Roman"/>
          <w:i/>
          <w:sz w:val="24"/>
          <w:szCs w:val="24"/>
          <w:lang w:eastAsia="hr-HR"/>
        </w:rPr>
        <w:t>2. Vatrogasna zajednica Splitsko- dalmatinske županije, Split,</w:t>
      </w:r>
    </w:p>
    <w:p>
      <w:pPr>
        <w:spacing w:after="0" w:line="240" w:lineRule="auto"/>
        <w:jc w:val="both"/>
        <w:rPr>
          <w:rFonts w:ascii="Times New Roman" w:hAnsi="Times New Roman" w:eastAsia="Times New Roman"/>
          <w:i/>
          <w:sz w:val="24"/>
          <w:szCs w:val="24"/>
          <w:lang w:eastAsia="hr-HR"/>
        </w:rPr>
      </w:pPr>
      <w:r>
        <w:rPr>
          <w:rFonts w:ascii="Times New Roman" w:hAnsi="Times New Roman" w:eastAsia="Times New Roman"/>
          <w:i/>
          <w:sz w:val="24"/>
          <w:szCs w:val="24"/>
          <w:lang w:eastAsia="hr-HR"/>
        </w:rPr>
        <w:t>3. MUP Ravnateljstvo civilne zaštite, područni ured civilne zaštite Split</w:t>
      </w:r>
    </w:p>
    <w:p>
      <w:pPr>
        <w:spacing w:after="0" w:line="240" w:lineRule="auto"/>
        <w:jc w:val="both"/>
        <w:rPr>
          <w:rFonts w:ascii="Times New Roman" w:hAnsi="Times New Roman" w:eastAsia="Times New Roman"/>
          <w:i/>
          <w:sz w:val="24"/>
          <w:szCs w:val="24"/>
          <w:lang w:eastAsia="hr-HR"/>
        </w:rPr>
      </w:pPr>
      <w:r>
        <w:rPr>
          <w:rFonts w:ascii="Times New Roman" w:hAnsi="Times New Roman" w:eastAsia="Times New Roman"/>
          <w:i/>
          <w:sz w:val="24"/>
          <w:szCs w:val="24"/>
          <w:lang w:eastAsia="hr-HR"/>
        </w:rPr>
        <w:t>4. Nositelji zadaća – putem VZO</w:t>
      </w:r>
    </w:p>
    <w:p>
      <w:pPr>
        <w:spacing w:after="0" w:line="240" w:lineRule="auto"/>
        <w:jc w:val="both"/>
        <w:rPr>
          <w:rFonts w:ascii="Times New Roman" w:hAnsi="Times New Roman" w:eastAsia="Times New Roman"/>
          <w:i/>
          <w:sz w:val="24"/>
          <w:szCs w:val="24"/>
          <w:lang w:eastAsia="hr-HR"/>
        </w:rPr>
      </w:pPr>
      <w:r>
        <w:rPr>
          <w:rFonts w:ascii="Times New Roman" w:hAnsi="Times New Roman" w:eastAsia="Times New Roman"/>
          <w:i/>
          <w:sz w:val="24"/>
          <w:szCs w:val="24"/>
          <w:lang w:eastAsia="hr-HR"/>
        </w:rPr>
        <w:t>5. Ured Gradonačelnika – ovdje</w:t>
      </w:r>
    </w:p>
    <w:p>
      <w:pPr>
        <w:spacing w:after="0" w:line="240" w:lineRule="auto"/>
        <w:jc w:val="both"/>
        <w:rPr>
          <w:rFonts w:ascii="Times New Roman" w:hAnsi="Times New Roman" w:eastAsia="Times New Roman"/>
          <w:sz w:val="24"/>
          <w:szCs w:val="24"/>
          <w:lang w:eastAsia="hr-HR"/>
        </w:rPr>
      </w:pP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Arial">
    <w:panose1 w:val="020B0604020202020204"/>
    <w:charset w:val="EE"/>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01329"/>
      <w:docPartObj>
        <w:docPartGallery w:val="AutoText"/>
      </w:docPartObj>
    </w:sdtPr>
    <w:sdtContent>
      <w:p>
        <w:pPr>
          <w:pStyle w:val="7"/>
          <w:jc w:val="right"/>
        </w:pPr>
        <w:r>
          <w:fldChar w:fldCharType="begin"/>
        </w:r>
        <w:r>
          <w:instrText xml:space="preserve"> PAGE   \* MERGEFORMAT </w:instrText>
        </w:r>
        <w:r>
          <w:fldChar w:fldCharType="separate"/>
        </w:r>
        <w:r>
          <w:t>12</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01B"/>
    <w:multiLevelType w:val="multilevel"/>
    <w:tmpl w:val="07ED301B"/>
    <w:lvl w:ilvl="0" w:tentative="0">
      <w:start w:val="1"/>
      <w:numFmt w:val="decimal"/>
      <w:lvlText w:val="%1."/>
      <w:lvlJc w:val="left"/>
      <w:pPr>
        <w:tabs>
          <w:tab w:val="left" w:pos="1068"/>
        </w:tabs>
        <w:ind w:left="1068" w:hanging="360"/>
      </w:pPr>
    </w:lvl>
    <w:lvl w:ilvl="1" w:tentative="0">
      <w:start w:val="1"/>
      <w:numFmt w:val="lowerLetter"/>
      <w:lvlText w:val="%2."/>
      <w:lvlJc w:val="left"/>
      <w:pPr>
        <w:tabs>
          <w:tab w:val="left" w:pos="1788"/>
        </w:tabs>
        <w:ind w:left="1788"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80D7BDD"/>
    <w:multiLevelType w:val="multilevel"/>
    <w:tmpl w:val="080D7BDD"/>
    <w:lvl w:ilvl="0" w:tentative="0">
      <w:start w:val="2014"/>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B7C39A7"/>
    <w:multiLevelType w:val="multilevel"/>
    <w:tmpl w:val="0B7C39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6197D8B"/>
    <w:multiLevelType w:val="multilevel"/>
    <w:tmpl w:val="16197D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B803FEC"/>
    <w:multiLevelType w:val="multilevel"/>
    <w:tmpl w:val="1B803FEC"/>
    <w:lvl w:ilvl="0" w:tentative="0">
      <w:start w:val="1"/>
      <w:numFmt w:val="lowerLetter"/>
      <w:lvlText w:val="%1)"/>
      <w:lvlJc w:val="left"/>
      <w:pPr>
        <w:tabs>
          <w:tab w:val="left" w:pos="540"/>
        </w:tabs>
        <w:ind w:left="540" w:hanging="360"/>
      </w:pPr>
    </w:lvl>
    <w:lvl w:ilvl="1" w:tentative="0">
      <w:start w:val="1"/>
      <w:numFmt w:val="bullet"/>
      <w:lvlText w:val="-"/>
      <w:lvlJc w:val="left"/>
      <w:pPr>
        <w:tabs>
          <w:tab w:val="left" w:pos="1260"/>
        </w:tabs>
        <w:ind w:left="1260" w:hanging="360"/>
      </w:pPr>
      <w:rPr>
        <w:rFonts w:hint="default" w:ascii="Times New Roman" w:hAnsi="Times New Roman" w:eastAsia="Times New Roman" w:cs="Times New Roman"/>
      </w:r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C9708A6"/>
    <w:multiLevelType w:val="multilevel"/>
    <w:tmpl w:val="4C9708A6"/>
    <w:lvl w:ilvl="0" w:tentative="0">
      <w:start w:val="1"/>
      <w:numFmt w:val="upperRoman"/>
      <w:lvlText w:val="%1."/>
      <w:lvlJc w:val="left"/>
      <w:pPr>
        <w:ind w:left="7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4F"/>
    <w:rsid w:val="00000273"/>
    <w:rsid w:val="000015DD"/>
    <w:rsid w:val="00005685"/>
    <w:rsid w:val="000162F2"/>
    <w:rsid w:val="00030A6B"/>
    <w:rsid w:val="0003103A"/>
    <w:rsid w:val="0003388F"/>
    <w:rsid w:val="00034B7E"/>
    <w:rsid w:val="00044C8C"/>
    <w:rsid w:val="00061706"/>
    <w:rsid w:val="00067D78"/>
    <w:rsid w:val="00071D81"/>
    <w:rsid w:val="00074E87"/>
    <w:rsid w:val="00075752"/>
    <w:rsid w:val="00090611"/>
    <w:rsid w:val="000958E3"/>
    <w:rsid w:val="000A02CD"/>
    <w:rsid w:val="000A3948"/>
    <w:rsid w:val="000A7545"/>
    <w:rsid w:val="000C0346"/>
    <w:rsid w:val="000D73E8"/>
    <w:rsid w:val="000D7EE6"/>
    <w:rsid w:val="000E0B9A"/>
    <w:rsid w:val="000E1E5D"/>
    <w:rsid w:val="000E2A40"/>
    <w:rsid w:val="000E3D06"/>
    <w:rsid w:val="000E6B60"/>
    <w:rsid w:val="000F159B"/>
    <w:rsid w:val="000F1B46"/>
    <w:rsid w:val="000F3C92"/>
    <w:rsid w:val="000F3EE9"/>
    <w:rsid w:val="000F64BA"/>
    <w:rsid w:val="000F72FD"/>
    <w:rsid w:val="00100A45"/>
    <w:rsid w:val="00104A01"/>
    <w:rsid w:val="001165B4"/>
    <w:rsid w:val="001410AC"/>
    <w:rsid w:val="0014547B"/>
    <w:rsid w:val="00151097"/>
    <w:rsid w:val="00156990"/>
    <w:rsid w:val="001570A9"/>
    <w:rsid w:val="0016259F"/>
    <w:rsid w:val="00166F26"/>
    <w:rsid w:val="001716D2"/>
    <w:rsid w:val="0018731F"/>
    <w:rsid w:val="00197CCB"/>
    <w:rsid w:val="001A603D"/>
    <w:rsid w:val="001C1372"/>
    <w:rsid w:val="001C16E5"/>
    <w:rsid w:val="001C378A"/>
    <w:rsid w:val="001D01EB"/>
    <w:rsid w:val="001D4931"/>
    <w:rsid w:val="001E38AE"/>
    <w:rsid w:val="001E52B9"/>
    <w:rsid w:val="0020514F"/>
    <w:rsid w:val="002155B4"/>
    <w:rsid w:val="00215625"/>
    <w:rsid w:val="002216F6"/>
    <w:rsid w:val="00223AFD"/>
    <w:rsid w:val="002265E5"/>
    <w:rsid w:val="00226BEA"/>
    <w:rsid w:val="002421CA"/>
    <w:rsid w:val="00253A29"/>
    <w:rsid w:val="00254C38"/>
    <w:rsid w:val="00255BC9"/>
    <w:rsid w:val="00260943"/>
    <w:rsid w:val="00260F09"/>
    <w:rsid w:val="00265785"/>
    <w:rsid w:val="00265C52"/>
    <w:rsid w:val="00265EC8"/>
    <w:rsid w:val="0027712A"/>
    <w:rsid w:val="00277216"/>
    <w:rsid w:val="00280E5A"/>
    <w:rsid w:val="00284EE2"/>
    <w:rsid w:val="002859D5"/>
    <w:rsid w:val="00286777"/>
    <w:rsid w:val="00293630"/>
    <w:rsid w:val="00296E94"/>
    <w:rsid w:val="002A34A2"/>
    <w:rsid w:val="002B0CBF"/>
    <w:rsid w:val="002B4B0F"/>
    <w:rsid w:val="002C5859"/>
    <w:rsid w:val="002C5B51"/>
    <w:rsid w:val="002D6B7B"/>
    <w:rsid w:val="002E01C1"/>
    <w:rsid w:val="002E72D0"/>
    <w:rsid w:val="002F3471"/>
    <w:rsid w:val="003028D9"/>
    <w:rsid w:val="003043A1"/>
    <w:rsid w:val="00305289"/>
    <w:rsid w:val="0031478E"/>
    <w:rsid w:val="003147AE"/>
    <w:rsid w:val="00314FE2"/>
    <w:rsid w:val="0033640F"/>
    <w:rsid w:val="0034031B"/>
    <w:rsid w:val="003433B4"/>
    <w:rsid w:val="0034637A"/>
    <w:rsid w:val="0035691D"/>
    <w:rsid w:val="00365F33"/>
    <w:rsid w:val="00372B48"/>
    <w:rsid w:val="00384A94"/>
    <w:rsid w:val="00384B89"/>
    <w:rsid w:val="0039145B"/>
    <w:rsid w:val="003929AA"/>
    <w:rsid w:val="00395169"/>
    <w:rsid w:val="003A17B6"/>
    <w:rsid w:val="003A1F25"/>
    <w:rsid w:val="003B059A"/>
    <w:rsid w:val="003C7A5D"/>
    <w:rsid w:val="003D14F7"/>
    <w:rsid w:val="003D696C"/>
    <w:rsid w:val="003E02DF"/>
    <w:rsid w:val="003E04B1"/>
    <w:rsid w:val="003E416D"/>
    <w:rsid w:val="003F781E"/>
    <w:rsid w:val="004165C5"/>
    <w:rsid w:val="00427948"/>
    <w:rsid w:val="00430445"/>
    <w:rsid w:val="00434D31"/>
    <w:rsid w:val="00437F8F"/>
    <w:rsid w:val="00441086"/>
    <w:rsid w:val="00441F3A"/>
    <w:rsid w:val="004439A3"/>
    <w:rsid w:val="004473AE"/>
    <w:rsid w:val="00451274"/>
    <w:rsid w:val="0045537E"/>
    <w:rsid w:val="00457914"/>
    <w:rsid w:val="004664FD"/>
    <w:rsid w:val="00475176"/>
    <w:rsid w:val="00477F4F"/>
    <w:rsid w:val="00482028"/>
    <w:rsid w:val="00485CAF"/>
    <w:rsid w:val="0049064E"/>
    <w:rsid w:val="004A0ADC"/>
    <w:rsid w:val="004A1077"/>
    <w:rsid w:val="004A17D6"/>
    <w:rsid w:val="004B1F44"/>
    <w:rsid w:val="004C7AE4"/>
    <w:rsid w:val="004D05CD"/>
    <w:rsid w:val="004D1992"/>
    <w:rsid w:val="004E07A0"/>
    <w:rsid w:val="004E2EB0"/>
    <w:rsid w:val="004F252B"/>
    <w:rsid w:val="004F676B"/>
    <w:rsid w:val="0051280B"/>
    <w:rsid w:val="0051440A"/>
    <w:rsid w:val="00527E67"/>
    <w:rsid w:val="00531562"/>
    <w:rsid w:val="005331D3"/>
    <w:rsid w:val="00533C00"/>
    <w:rsid w:val="005438B3"/>
    <w:rsid w:val="005665B1"/>
    <w:rsid w:val="005668A4"/>
    <w:rsid w:val="00575152"/>
    <w:rsid w:val="00575E5A"/>
    <w:rsid w:val="00576157"/>
    <w:rsid w:val="0058233E"/>
    <w:rsid w:val="00587074"/>
    <w:rsid w:val="00587F18"/>
    <w:rsid w:val="00594095"/>
    <w:rsid w:val="00595771"/>
    <w:rsid w:val="00596220"/>
    <w:rsid w:val="005A63DF"/>
    <w:rsid w:val="005A67B3"/>
    <w:rsid w:val="005B05D6"/>
    <w:rsid w:val="005B441E"/>
    <w:rsid w:val="005B7BD8"/>
    <w:rsid w:val="005C367D"/>
    <w:rsid w:val="005C602C"/>
    <w:rsid w:val="005C7E4F"/>
    <w:rsid w:val="005E2E37"/>
    <w:rsid w:val="005E321E"/>
    <w:rsid w:val="005F605D"/>
    <w:rsid w:val="005F7619"/>
    <w:rsid w:val="006068A7"/>
    <w:rsid w:val="00625036"/>
    <w:rsid w:val="00633E88"/>
    <w:rsid w:val="00640FCB"/>
    <w:rsid w:val="00641771"/>
    <w:rsid w:val="0065151F"/>
    <w:rsid w:val="0065549E"/>
    <w:rsid w:val="00672D95"/>
    <w:rsid w:val="0069524F"/>
    <w:rsid w:val="006A4211"/>
    <w:rsid w:val="006A5690"/>
    <w:rsid w:val="006B4EF0"/>
    <w:rsid w:val="006B6B73"/>
    <w:rsid w:val="006B7104"/>
    <w:rsid w:val="006C2BE7"/>
    <w:rsid w:val="006D080A"/>
    <w:rsid w:val="006E0EBD"/>
    <w:rsid w:val="006E253F"/>
    <w:rsid w:val="006E3755"/>
    <w:rsid w:val="006E4526"/>
    <w:rsid w:val="00705A3E"/>
    <w:rsid w:val="00733871"/>
    <w:rsid w:val="00745168"/>
    <w:rsid w:val="00745965"/>
    <w:rsid w:val="0075767B"/>
    <w:rsid w:val="00762D87"/>
    <w:rsid w:val="00766B30"/>
    <w:rsid w:val="00772CDB"/>
    <w:rsid w:val="007756E7"/>
    <w:rsid w:val="007758C4"/>
    <w:rsid w:val="00785C80"/>
    <w:rsid w:val="007919C3"/>
    <w:rsid w:val="0079394A"/>
    <w:rsid w:val="007A0473"/>
    <w:rsid w:val="007A136A"/>
    <w:rsid w:val="007A2215"/>
    <w:rsid w:val="007A6A70"/>
    <w:rsid w:val="007B4258"/>
    <w:rsid w:val="007C1384"/>
    <w:rsid w:val="007C1DAF"/>
    <w:rsid w:val="007C223E"/>
    <w:rsid w:val="007D224F"/>
    <w:rsid w:val="007E4AAA"/>
    <w:rsid w:val="007F77EB"/>
    <w:rsid w:val="00802928"/>
    <w:rsid w:val="00804C43"/>
    <w:rsid w:val="00811FF9"/>
    <w:rsid w:val="00823D5A"/>
    <w:rsid w:val="008308D9"/>
    <w:rsid w:val="00835603"/>
    <w:rsid w:val="00852E56"/>
    <w:rsid w:val="0085400C"/>
    <w:rsid w:val="00855515"/>
    <w:rsid w:val="00856094"/>
    <w:rsid w:val="008679F7"/>
    <w:rsid w:val="00867B3E"/>
    <w:rsid w:val="00873744"/>
    <w:rsid w:val="00873C6B"/>
    <w:rsid w:val="0087474E"/>
    <w:rsid w:val="00875977"/>
    <w:rsid w:val="00884154"/>
    <w:rsid w:val="00890138"/>
    <w:rsid w:val="00891308"/>
    <w:rsid w:val="0089557D"/>
    <w:rsid w:val="008A1E46"/>
    <w:rsid w:val="008B37A0"/>
    <w:rsid w:val="008B70A2"/>
    <w:rsid w:val="008C4EF3"/>
    <w:rsid w:val="008F06BA"/>
    <w:rsid w:val="008F0F80"/>
    <w:rsid w:val="00902AC8"/>
    <w:rsid w:val="00902EF6"/>
    <w:rsid w:val="00904167"/>
    <w:rsid w:val="00912A8D"/>
    <w:rsid w:val="00922C18"/>
    <w:rsid w:val="00931F80"/>
    <w:rsid w:val="009335A1"/>
    <w:rsid w:val="00937865"/>
    <w:rsid w:val="00937BF4"/>
    <w:rsid w:val="00942B81"/>
    <w:rsid w:val="009438C6"/>
    <w:rsid w:val="009455F0"/>
    <w:rsid w:val="00945CC7"/>
    <w:rsid w:val="00950E1F"/>
    <w:rsid w:val="00952F0C"/>
    <w:rsid w:val="00965552"/>
    <w:rsid w:val="009716C3"/>
    <w:rsid w:val="00976F61"/>
    <w:rsid w:val="0098238B"/>
    <w:rsid w:val="009A67C2"/>
    <w:rsid w:val="009B08FA"/>
    <w:rsid w:val="009B362A"/>
    <w:rsid w:val="009B553C"/>
    <w:rsid w:val="009C02C2"/>
    <w:rsid w:val="009C7884"/>
    <w:rsid w:val="009D1B24"/>
    <w:rsid w:val="009D4783"/>
    <w:rsid w:val="009D5820"/>
    <w:rsid w:val="009E0510"/>
    <w:rsid w:val="009E551C"/>
    <w:rsid w:val="00A02808"/>
    <w:rsid w:val="00A0395F"/>
    <w:rsid w:val="00A24084"/>
    <w:rsid w:val="00A2659C"/>
    <w:rsid w:val="00A27DD6"/>
    <w:rsid w:val="00A30848"/>
    <w:rsid w:val="00A4092D"/>
    <w:rsid w:val="00A511E7"/>
    <w:rsid w:val="00A51922"/>
    <w:rsid w:val="00A61AE8"/>
    <w:rsid w:val="00A67F7B"/>
    <w:rsid w:val="00A803EA"/>
    <w:rsid w:val="00A80803"/>
    <w:rsid w:val="00A82BC3"/>
    <w:rsid w:val="00A9200C"/>
    <w:rsid w:val="00A9377D"/>
    <w:rsid w:val="00A93B91"/>
    <w:rsid w:val="00AA2284"/>
    <w:rsid w:val="00AB1C56"/>
    <w:rsid w:val="00AB2A9D"/>
    <w:rsid w:val="00AB2C0B"/>
    <w:rsid w:val="00AC0938"/>
    <w:rsid w:val="00AC13C2"/>
    <w:rsid w:val="00AD4526"/>
    <w:rsid w:val="00AD7ABE"/>
    <w:rsid w:val="00AE06FB"/>
    <w:rsid w:val="00AE3CCB"/>
    <w:rsid w:val="00AF1B56"/>
    <w:rsid w:val="00B02E04"/>
    <w:rsid w:val="00B04F88"/>
    <w:rsid w:val="00B10EE3"/>
    <w:rsid w:val="00B122BB"/>
    <w:rsid w:val="00B12A8C"/>
    <w:rsid w:val="00B13B3B"/>
    <w:rsid w:val="00B2142A"/>
    <w:rsid w:val="00B2203C"/>
    <w:rsid w:val="00B315C6"/>
    <w:rsid w:val="00B33957"/>
    <w:rsid w:val="00B45B8C"/>
    <w:rsid w:val="00B52CDC"/>
    <w:rsid w:val="00B603B2"/>
    <w:rsid w:val="00B80309"/>
    <w:rsid w:val="00B90A29"/>
    <w:rsid w:val="00BA15A6"/>
    <w:rsid w:val="00BA1918"/>
    <w:rsid w:val="00BA3AED"/>
    <w:rsid w:val="00BA6E14"/>
    <w:rsid w:val="00BC5185"/>
    <w:rsid w:val="00BC5844"/>
    <w:rsid w:val="00BD41E9"/>
    <w:rsid w:val="00BD5123"/>
    <w:rsid w:val="00BD77F1"/>
    <w:rsid w:val="00BE4A49"/>
    <w:rsid w:val="00BE5D2E"/>
    <w:rsid w:val="00BF0292"/>
    <w:rsid w:val="00BF371F"/>
    <w:rsid w:val="00BF5F60"/>
    <w:rsid w:val="00BF6066"/>
    <w:rsid w:val="00BF7FF0"/>
    <w:rsid w:val="00C01953"/>
    <w:rsid w:val="00C03D61"/>
    <w:rsid w:val="00C158EA"/>
    <w:rsid w:val="00C16A6E"/>
    <w:rsid w:val="00C32AA7"/>
    <w:rsid w:val="00C35907"/>
    <w:rsid w:val="00C415C5"/>
    <w:rsid w:val="00C50A70"/>
    <w:rsid w:val="00C554C5"/>
    <w:rsid w:val="00C563F3"/>
    <w:rsid w:val="00C62F6C"/>
    <w:rsid w:val="00C63798"/>
    <w:rsid w:val="00C732B1"/>
    <w:rsid w:val="00C742C8"/>
    <w:rsid w:val="00C939A1"/>
    <w:rsid w:val="00C97E5E"/>
    <w:rsid w:val="00C97FC9"/>
    <w:rsid w:val="00CB2198"/>
    <w:rsid w:val="00CB5C3A"/>
    <w:rsid w:val="00CC2443"/>
    <w:rsid w:val="00CC6E00"/>
    <w:rsid w:val="00CD0A5B"/>
    <w:rsid w:val="00CE3885"/>
    <w:rsid w:val="00CF0776"/>
    <w:rsid w:val="00D0414A"/>
    <w:rsid w:val="00D162F6"/>
    <w:rsid w:val="00D227C8"/>
    <w:rsid w:val="00D37475"/>
    <w:rsid w:val="00D54733"/>
    <w:rsid w:val="00D55550"/>
    <w:rsid w:val="00D65994"/>
    <w:rsid w:val="00D67A9B"/>
    <w:rsid w:val="00D82B6C"/>
    <w:rsid w:val="00D8374A"/>
    <w:rsid w:val="00D91B1C"/>
    <w:rsid w:val="00D937B8"/>
    <w:rsid w:val="00DA629C"/>
    <w:rsid w:val="00DA77D2"/>
    <w:rsid w:val="00DB1BCF"/>
    <w:rsid w:val="00DB3F8D"/>
    <w:rsid w:val="00DB5BEE"/>
    <w:rsid w:val="00DC204E"/>
    <w:rsid w:val="00DC2872"/>
    <w:rsid w:val="00DC5F7A"/>
    <w:rsid w:val="00DD7872"/>
    <w:rsid w:val="00DF25E3"/>
    <w:rsid w:val="00DF2AF2"/>
    <w:rsid w:val="00E02275"/>
    <w:rsid w:val="00E141DB"/>
    <w:rsid w:val="00E313F8"/>
    <w:rsid w:val="00E4402E"/>
    <w:rsid w:val="00E51941"/>
    <w:rsid w:val="00E51D5E"/>
    <w:rsid w:val="00E6068E"/>
    <w:rsid w:val="00E6179F"/>
    <w:rsid w:val="00E618DD"/>
    <w:rsid w:val="00E62006"/>
    <w:rsid w:val="00E63CAC"/>
    <w:rsid w:val="00E66EED"/>
    <w:rsid w:val="00E76FF0"/>
    <w:rsid w:val="00E83BF1"/>
    <w:rsid w:val="00E86942"/>
    <w:rsid w:val="00E86CE9"/>
    <w:rsid w:val="00E951F2"/>
    <w:rsid w:val="00EA3A0E"/>
    <w:rsid w:val="00EA713B"/>
    <w:rsid w:val="00EA791A"/>
    <w:rsid w:val="00EC2642"/>
    <w:rsid w:val="00EC75D8"/>
    <w:rsid w:val="00EC7DD6"/>
    <w:rsid w:val="00EE09C4"/>
    <w:rsid w:val="00EE3E6F"/>
    <w:rsid w:val="00EF3FFA"/>
    <w:rsid w:val="00EF5902"/>
    <w:rsid w:val="00F00202"/>
    <w:rsid w:val="00F128E4"/>
    <w:rsid w:val="00F23709"/>
    <w:rsid w:val="00F307B2"/>
    <w:rsid w:val="00F31A32"/>
    <w:rsid w:val="00F326FC"/>
    <w:rsid w:val="00F34F4B"/>
    <w:rsid w:val="00F4295C"/>
    <w:rsid w:val="00F43504"/>
    <w:rsid w:val="00F46A4B"/>
    <w:rsid w:val="00F51256"/>
    <w:rsid w:val="00F52B14"/>
    <w:rsid w:val="00F56849"/>
    <w:rsid w:val="00F62D34"/>
    <w:rsid w:val="00F66E81"/>
    <w:rsid w:val="00F706B3"/>
    <w:rsid w:val="00F712B5"/>
    <w:rsid w:val="00F74AC1"/>
    <w:rsid w:val="00F819B1"/>
    <w:rsid w:val="00F84B2B"/>
    <w:rsid w:val="00F97B92"/>
    <w:rsid w:val="00FA009D"/>
    <w:rsid w:val="00FA31C5"/>
    <w:rsid w:val="00FB74BA"/>
    <w:rsid w:val="00FC4FB7"/>
    <w:rsid w:val="00FC7AEA"/>
    <w:rsid w:val="00FE11F6"/>
    <w:rsid w:val="00FE39E0"/>
    <w:rsid w:val="00FF02EB"/>
    <w:rsid w:val="00FF52D2"/>
    <w:rsid w:val="6EE85485"/>
    <w:rsid w:val="79DA27A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hr-HR" w:eastAsia="en-US" w:bidi="ar-SA"/>
    </w:rPr>
  </w:style>
  <w:style w:type="paragraph" w:styleId="2">
    <w:name w:val="heading 1"/>
    <w:basedOn w:val="1"/>
    <w:next w:val="1"/>
    <w:link w:val="18"/>
    <w:qFormat/>
    <w:uiPriority w:val="9"/>
    <w:pPr>
      <w:spacing w:before="100" w:beforeAutospacing="1" w:after="100" w:afterAutospacing="1" w:line="240" w:lineRule="auto"/>
      <w:outlineLvl w:val="0"/>
    </w:pPr>
    <w:rPr>
      <w:rFonts w:ascii="Times New Roman" w:hAnsi="Times New Roman" w:eastAsia="Times New Roman"/>
      <w:b/>
      <w:bCs/>
      <w:kern w:val="36"/>
      <w:sz w:val="48"/>
      <w:szCs w:val="48"/>
      <w:lang w:eastAsia="hr-H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paragraph" w:styleId="7">
    <w:name w:val="footer"/>
    <w:basedOn w:val="1"/>
    <w:link w:val="13"/>
    <w:unhideWhenUsed/>
    <w:qFormat/>
    <w:uiPriority w:val="99"/>
    <w:pPr>
      <w:tabs>
        <w:tab w:val="center" w:pos="4536"/>
        <w:tab w:val="right" w:pos="9072"/>
      </w:tabs>
      <w:spacing w:after="0" w:line="240" w:lineRule="auto"/>
    </w:pPr>
  </w:style>
  <w:style w:type="paragraph" w:styleId="8">
    <w:name w:val="header"/>
    <w:basedOn w:val="1"/>
    <w:link w:val="12"/>
    <w:semiHidden/>
    <w:unhideWhenUsed/>
    <w:qFormat/>
    <w:uiPriority w:val="99"/>
    <w:pPr>
      <w:tabs>
        <w:tab w:val="center" w:pos="4536"/>
        <w:tab w:val="right" w:pos="9072"/>
      </w:tabs>
      <w:spacing w:after="0" w:line="240" w:lineRule="auto"/>
    </w:pPr>
  </w:style>
  <w:style w:type="character" w:styleId="9">
    <w:name w:val="Hyperlink"/>
    <w:basedOn w:val="3"/>
    <w:semiHidden/>
    <w:unhideWhenUsed/>
    <w:qFormat/>
    <w:uiPriority w:val="99"/>
    <w:rPr>
      <w:color w:val="0000FF"/>
      <w:u w:val="single"/>
    </w:rPr>
  </w:style>
  <w:style w:type="paragraph" w:styleId="10">
    <w:name w:val="List Paragraph"/>
    <w:basedOn w:val="1"/>
    <w:qFormat/>
    <w:uiPriority w:val="34"/>
    <w:pPr>
      <w:ind w:left="720"/>
      <w:contextualSpacing/>
    </w:pPr>
  </w:style>
  <w:style w:type="character" w:customStyle="1" w:styleId="11">
    <w:name w:val="st"/>
    <w:basedOn w:val="3"/>
    <w:qFormat/>
    <w:uiPriority w:val="0"/>
  </w:style>
  <w:style w:type="character" w:customStyle="1" w:styleId="12">
    <w:name w:val="Zaglavlje Char"/>
    <w:basedOn w:val="3"/>
    <w:link w:val="8"/>
    <w:semiHidden/>
    <w:uiPriority w:val="99"/>
    <w:rPr>
      <w:rFonts w:ascii="Calibri" w:hAnsi="Calibri" w:eastAsia="Calibri" w:cs="Times New Roman"/>
      <w:lang w:eastAsia="en-US"/>
    </w:rPr>
  </w:style>
  <w:style w:type="character" w:customStyle="1" w:styleId="13">
    <w:name w:val="Podnožje Char"/>
    <w:basedOn w:val="3"/>
    <w:link w:val="7"/>
    <w:qFormat/>
    <w:uiPriority w:val="99"/>
    <w:rPr>
      <w:rFonts w:ascii="Calibri" w:hAnsi="Calibri" w:eastAsia="Calibri" w:cs="Times New Roman"/>
      <w:lang w:eastAsia="en-US"/>
    </w:rPr>
  </w:style>
  <w:style w:type="paragraph" w:styleId="14">
    <w:name w:val="No Spacing"/>
    <w:qFormat/>
    <w:uiPriority w:val="1"/>
    <w:pPr>
      <w:spacing w:after="0" w:line="240" w:lineRule="auto"/>
    </w:pPr>
    <w:rPr>
      <w:rFonts w:ascii="Calibri" w:hAnsi="Calibri" w:eastAsia="Calibri" w:cs="Times New Roman"/>
      <w:sz w:val="22"/>
      <w:szCs w:val="22"/>
      <w:lang w:val="hr-HR" w:eastAsia="en-US" w:bidi="ar-SA"/>
    </w:rPr>
  </w:style>
  <w:style w:type="paragraph" w:customStyle="1" w:styleId="15">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hr-HR" w:eastAsia="hr-HR" w:bidi="ar-SA"/>
    </w:rPr>
  </w:style>
  <w:style w:type="character" w:customStyle="1" w:styleId="16">
    <w:name w:val="Tekst balončića Char"/>
    <w:basedOn w:val="3"/>
    <w:link w:val="5"/>
    <w:semiHidden/>
    <w:qFormat/>
    <w:uiPriority w:val="99"/>
    <w:rPr>
      <w:rFonts w:ascii="Tahoma" w:hAnsi="Tahoma" w:eastAsia="Calibri" w:cs="Tahoma"/>
      <w:sz w:val="16"/>
      <w:szCs w:val="16"/>
      <w:lang w:eastAsia="en-US"/>
    </w:rPr>
  </w:style>
  <w:style w:type="character" w:styleId="17">
    <w:name w:val="Placeholder Text"/>
    <w:basedOn w:val="3"/>
    <w:semiHidden/>
    <w:qFormat/>
    <w:uiPriority w:val="99"/>
    <w:rPr>
      <w:color w:val="808080"/>
    </w:rPr>
  </w:style>
  <w:style w:type="character" w:customStyle="1" w:styleId="18">
    <w:name w:val="Naslov 1 Char"/>
    <w:basedOn w:val="3"/>
    <w:link w:val="2"/>
    <w:qFormat/>
    <w:uiPriority w:val="9"/>
    <w:rPr>
      <w:rFonts w:ascii="Times New Roman" w:hAnsi="Times New Roman" w:eastAsia="Times New Roman" w:cs="Times New Roman"/>
      <w:b/>
      <w:bCs/>
      <w:kern w:val="36"/>
      <w:sz w:val="48"/>
      <w:szCs w:val="48"/>
      <w:lang w:eastAsia="hr-HR"/>
    </w:rPr>
  </w:style>
  <w:style w:type="character" w:customStyle="1" w:styleId="19">
    <w:name w:val="markedcontent"/>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file:///C:\Documents%2520and%2520Settings\Korisnik\My%2520Documents\turist_zajednica\grb%2520grada%2520u%2520boji_files\grb.gif" TargetMode="Externa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Grad Stari Grad</Company>
  <Pages>13</Pages>
  <Words>5014</Words>
  <Characters>28583</Characters>
  <Lines>238</Lines>
  <Paragraphs>67</Paragraphs>
  <TotalTime>204</TotalTime>
  <ScaleCrop>false</ScaleCrop>
  <LinksUpToDate>false</LinksUpToDate>
  <CharactersWithSpaces>33530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2022-02-16T13:53:00Z</dcterms:created>
  <dc:creator>Mladen</dc:creator>
  <cp:lastModifiedBy>Katarina</cp:lastModifiedBy>
  <cp:lastPrinted>2021-04-01T12:14:00Z</cp:lastPrinted>
  <dcterms:modified xsi:type="dcterms:W3CDTF">2022-06-27T10:27:46Z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7CAB604A29374748AA9B1F9533695B20</vt:lpwstr>
  </property>
</Properties>
</file>